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250" w:type="dxa"/>
        <w:gridCol w:w="17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100" w:type="pct"/>
            <w:gridSpan w:val="3"/>
          </w:tcPr>
          <w:p>
            <w:pPr/>
          </w:p>
          <w:p>
            <w:pPr/>
            <w:r>
              <w:rPr/>
              <w:t xml:space="preserve"> </w:t>
            </w:r>
          </w:p>
        </w:tc>
      </w:tr>
      <w:tr>
        <w:trPr>
          <w:tblHeader w:val="1"/>
        </w:trPr>
        <w:tc>
          <w:tcPr>
            <w:tcW w:w="2150" w:type="pct"/>
            <w:gridSpan w:val="3"/>
          </w:tcPr>
          <w:p>
            <w:pPr/>
            <w:r>
              <w:rPr/>
              <w:t xml:space="preserve">Nichos y Parcelas</w:t>
            </w:r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Por venta    </w:t>
            </w:r>
          </w:p>
        </w:tc>
        <w:tc>
          <w:tcPr>
            <w:tcW w:w="1750" w:type="pct"/>
          </w:tcPr>
          <w:p>
            <w:pPr/>
            <w:r>
              <w:rPr/>
              <w:t xml:space="preserve">776,81</w:t>
            </w:r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Compra para uso inmediato y por razón de imperiosa necesidad (siempre y cuando se cumplan las dos condiciones a la vez: uso inmediato (fallecimiento) e informe social)</w:t>
            </w:r>
          </w:p>
        </w:tc>
        <w:tc>
          <w:tcPr>
            <w:tcW w:w="1750" w:type="pct"/>
          </w:tcPr>
          <w:p>
            <w:pPr/>
            <w:r>
              <w:rPr/>
              <w:t xml:space="preserve">324,71</w:t>
            </w:r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Alquiler por 5 años    </w:t>
            </w:r>
          </w:p>
        </w:tc>
        <w:tc>
          <w:tcPr>
            <w:tcW w:w="1750" w:type="pct"/>
          </w:tcPr>
          <w:p>
            <w:pPr/>
            <w:r>
              <w:rPr/>
              <w:t xml:space="preserve">73,98</w:t>
            </w:r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Alquiler por cada año más</w:t>
            </w:r>
          </w:p>
        </w:tc>
        <w:tc>
          <w:tcPr>
            <w:tcW w:w="1750" w:type="pct"/>
          </w:tcPr>
          <w:p>
            <w:pPr/>
            <w:r>
              <w:rPr/>
              <w:t xml:space="preserve">14,15</w:t>
            </w:r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Venta nicho osario</w:t>
            </w:r>
          </w:p>
        </w:tc>
        <w:tc>
          <w:tcPr>
            <w:tcW w:w="1750" w:type="pct"/>
          </w:tcPr>
          <w:p>
            <w:pPr/>
            <w:r>
              <w:rPr/>
              <w:t xml:space="preserve">31,07</w:t>
            </w:r>
          </w:p>
        </w:tc>
      </w:tr>
    </w:tbl>
    <w:tbl>
      <w:tblGrid>
        <w:gridCol w:w="3250" w:type="dxa"/>
        <w:gridCol w:w="17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1700" w:type="pct"/>
            <w:gridSpan w:val="3"/>
          </w:tcPr>
          <w:p>
            <w:pPr/>
            <w:r>
              <w:rPr/>
              <w:t xml:space="preserve"> Colocación de lápidas,cruces,....</w:t>
            </w:r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Lápida en nicho </w:t>
            </w:r>
          </w:p>
        </w:tc>
        <w:tc>
          <w:tcPr>
            <w:tcW w:w="1750" w:type="pct"/>
          </w:tcPr>
          <w:p>
            <w:pPr/>
            <w:r>
              <w:rPr/>
              <w:t xml:space="preserve">19,30</w:t>
            </w:r>
          </w:p>
        </w:tc>
      </w:tr>
      <w:tr>
        <w:trPr/>
        <w:tc>
          <w:tcPr>
            <w:tcW w:w="100" w:type="pct"/>
            <w:gridSpan w:val="2"/>
          </w:tcPr>
          <w:p>
            <w:pPr/>
            <w:r>
              <w:rPr/>
              <w:t xml:space="preserve">Lápida sobre fosa</w:t>
            </w:r>
          </w:p>
        </w:tc>
        <w:tc>
          <w:tcPr>
            <w:tcW w:w="154950" w:type="pct"/>
          </w:tcPr>
          <w:p>
            <w:pPr/>
            <w:r>
              <w:rPr/>
              <w:t xml:space="preserve">16,08</w:t>
            </w:r>
          </w:p>
        </w:tc>
      </w:tr>
      <w:tr>
        <w:trPr/>
        <w:tc>
          <w:tcPr>
            <w:tcW w:w="100" w:type="pct"/>
            <w:gridSpan w:val="2"/>
          </w:tcPr>
          <w:p>
            <w:pPr/>
            <w:r>
              <w:rPr/>
              <w:t xml:space="preserve">Inscripción en mausoleo    </w:t>
            </w:r>
          </w:p>
        </w:tc>
        <w:tc>
          <w:tcPr>
            <w:tcW w:w="154950" w:type="pct"/>
          </w:tcPr>
          <w:p>
            <w:pPr/>
            <w:r>
              <w:rPr/>
              <w:t xml:space="preserve">16,08</w:t>
            </w:r>
          </w:p>
        </w:tc>
      </w:tr>
      <w:tr>
        <w:trPr/>
        <w:tc>
          <w:tcPr>
            <w:tcW w:w="100" w:type="pct"/>
            <w:gridSpan w:val="2"/>
          </w:tcPr>
          <w:p>
            <w:pPr/>
            <w:r>
              <w:rPr/>
              <w:t xml:space="preserve">Instalación de cruz y otros signos    </w:t>
            </w:r>
          </w:p>
        </w:tc>
        <w:tc>
          <w:tcPr>
            <w:tcW w:w="154950" w:type="pct"/>
          </w:tcPr>
          <w:p>
            <w:pPr/>
            <w:r>
              <w:rPr/>
              <w:t xml:space="preserve">8,36</w:t>
            </w:r>
          </w:p>
        </w:tc>
      </w:tr>
    </w:tbl>
    <w:tbl>
      <w:tblGrid>
        <w:gridCol w:w="3250" w:type="dxa"/>
        <w:gridCol w:w="17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1700" w:type="pct"/>
            <w:gridSpan w:val="3"/>
          </w:tcPr>
          <w:p>
            <w:pPr/>
            <w:r>
              <w:rPr/>
              <w:t xml:space="preserve">Otras actuaciones </w:t>
            </w:r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Inhumaciones </w:t>
            </w:r>
          </w:p>
        </w:tc>
        <w:tc>
          <w:tcPr>
            <w:tcW w:w="1750" w:type="pct"/>
          </w:tcPr>
          <w:p>
            <w:pPr/>
            <w:r>
              <w:rPr/>
              <w:t xml:space="preserve">36,98</w:t>
            </w:r>
          </w:p>
        </w:tc>
      </w:tr>
      <w:tr>
        <w:trPr/>
        <w:tc>
          <w:tcPr>
            <w:tcW w:w="100" w:type="pct"/>
            <w:gridSpan w:val="2"/>
          </w:tcPr>
          <w:p>
            <w:pPr/>
            <w:r>
              <w:rPr/>
              <w:t xml:space="preserve">Cambio de restos de nicho    </w:t>
            </w:r>
          </w:p>
        </w:tc>
        <w:tc>
          <w:tcPr>
            <w:tcW w:w="154950" w:type="pct"/>
          </w:tcPr>
          <w:p>
            <w:pPr/>
            <w:r>
              <w:rPr/>
              <w:t xml:space="preserve">36,98</w:t>
            </w:r>
          </w:p>
        </w:tc>
      </w:tr>
      <w:tr>
        <w:trPr/>
        <w:tc>
          <w:tcPr>
            <w:tcW w:w="100" w:type="pct"/>
            <w:gridSpan w:val="2"/>
          </w:tcPr>
          <w:p>
            <w:pPr/>
            <w:r>
              <w:rPr/>
              <w:t xml:space="preserve">Apertura de ellos    </w:t>
            </w:r>
          </w:p>
        </w:tc>
        <w:tc>
          <w:tcPr>
            <w:tcW w:w="154950" w:type="pct"/>
          </w:tcPr>
          <w:p>
            <w:pPr/>
            <w:r>
              <w:rPr/>
              <w:t xml:space="preserve">36,98</w:t>
            </w:r>
          </w:p>
        </w:tc>
      </w:tr>
      <w:tr>
        <w:trPr/>
        <w:tc>
          <w:tcPr>
            <w:tcW w:w="100" w:type="pct"/>
            <w:gridSpan w:val="2"/>
          </w:tcPr>
          <w:p>
            <w:pPr/>
            <w:r>
              <w:rPr/>
              <w:t xml:space="preserve">Cambio de restos de fosas o apertura de ellas    </w:t>
            </w:r>
          </w:p>
        </w:tc>
        <w:tc>
          <w:tcPr>
            <w:tcW w:w="154950" w:type="pct"/>
          </w:tcPr>
          <w:p>
            <w:pPr/>
            <w:r>
              <w:rPr/>
              <w:t xml:space="preserve">8,04</w:t>
            </w:r>
          </w:p>
        </w:tc>
      </w:tr>
      <w:tr>
        <w:trPr/>
        <w:tc>
          <w:tcPr>
            <w:tcW w:w="100" w:type="pct"/>
            <w:gridSpan w:val="2"/>
          </w:tcPr>
          <w:p>
            <w:pPr/>
            <w:r>
              <w:rPr/>
              <w:t xml:space="preserve">Servicio de tanatorio 24 horas    </w:t>
            </w:r>
          </w:p>
        </w:tc>
        <w:tc>
          <w:tcPr>
            <w:tcW w:w="154950" w:type="pct"/>
          </w:tcPr>
          <w:p>
            <w:pPr/>
            <w:r>
              <w:rPr/>
              <w:t xml:space="preserve">93,22</w:t>
            </w:r>
          </w:p>
        </w:tc>
      </w:tr>
      <w:tr>
        <w:trPr/>
        <w:tc>
          <w:tcPr>
            <w:tcW w:w="100" w:type="pct"/>
            <w:gridSpan w:val="2"/>
          </w:tcPr>
          <w:p>
            <w:pPr/>
            <w:r>
              <w:rPr/>
              <w:t xml:space="preserve">Derechos de título    </w:t>
            </w:r>
          </w:p>
        </w:tc>
        <w:tc>
          <w:tcPr>
            <w:tcW w:w="154950" w:type="pct"/>
          </w:tcPr>
          <w:p>
            <w:pPr/>
            <w:r>
              <w:rPr/>
              <w:t xml:space="preserve">9,63</w:t>
            </w:r>
          </w:p>
        </w:tc>
      </w:tr>
      <w:tr>
        <w:trPr/>
        <w:tc>
          <w:tcPr>
            <w:tcW w:w="100" w:type="pct"/>
            <w:gridSpan w:val="2"/>
          </w:tcPr>
          <w:p>
            <w:pPr/>
            <w:r>
              <w:rPr/>
              <w:t xml:space="preserve">Cualquier otra licencia o permiso (independientemente de los costes básicos de ejecución si son realizados por la Administración)    </w:t>
            </w:r>
          </w:p>
        </w:tc>
        <w:tc>
          <w:tcPr>
            <w:tcW w:w="154950" w:type="pct"/>
          </w:tcPr>
          <w:p>
            <w:pPr/>
            <w:r>
              <w:rPr/>
              <w:t xml:space="preserve">6,22</w:t>
            </w:r>
          </w:p>
        </w:tc>
      </w:tr>
    </w:tbl>
    <w:tbl>
      <w:tblGrid>
        <w:gridCol w:w="482350" w:type="dxa"/>
        <w:gridCol w:w="144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496750" w:type="pct"/>
            <w:gridSpan w:val="3"/>
          </w:tcPr>
          <w:p>
            <w:pPr/>
            <w:r>
              <w:rPr/>
              <w:t xml:space="preserve">Zona Azul</w:t>
            </w:r>
          </w:p>
        </w:tc>
      </w:tr>
      <w:tr>
        <w:trPr/>
        <w:tc>
          <w:tcPr>
            <w:tcW w:w="482350" w:type="pct"/>
            <w:gridSpan w:val="2"/>
          </w:tcPr>
          <w:p>
            <w:pPr/>
            <w:r>
              <w:rPr/>
              <w:t xml:space="preserve">Primeros 30 minutos o fracción    </w:t>
            </w:r>
          </w:p>
        </w:tc>
        <w:tc>
          <w:tcPr>
            <w:tcW w:w="14400" w:type="pct"/>
          </w:tcPr>
          <w:p>
            <w:pPr/>
            <w:r>
              <w:rPr/>
              <w:t xml:space="preserve">0,35</w:t>
            </w:r>
          </w:p>
        </w:tc>
      </w:tr>
      <w:tr>
        <w:trPr/>
        <w:tc>
          <w:tcPr>
            <w:tcW w:w="482350" w:type="pct"/>
            <w:gridSpan w:val="2"/>
          </w:tcPr>
          <w:p>
            <w:pPr/>
            <w:r>
              <w:rPr/>
              <w:t xml:space="preserve">1 hora    </w:t>
            </w:r>
          </w:p>
        </w:tc>
        <w:tc>
          <w:tcPr>
            <w:tcW w:w="14400" w:type="pct"/>
          </w:tcPr>
          <w:p>
            <w:pPr/>
            <w:r>
              <w:rPr/>
              <w:t xml:space="preserve">0,55</w:t>
            </w:r>
          </w:p>
        </w:tc>
      </w:tr>
      <w:tr>
        <w:trPr/>
        <w:tc>
          <w:tcPr>
            <w:tcW w:w="482350" w:type="pct"/>
            <w:gridSpan w:val="2"/>
          </w:tcPr>
          <w:p>
            <w:pPr/>
            <w:r>
              <w:rPr/>
              <w:t xml:space="preserve">2 horas    </w:t>
            </w:r>
          </w:p>
        </w:tc>
        <w:tc>
          <w:tcPr>
            <w:tcW w:w="14400" w:type="pct"/>
          </w:tcPr>
          <w:p>
            <w:pPr/>
            <w:r>
              <w:rPr/>
              <w:t xml:space="preserve">1,20</w:t>
            </w:r>
          </w:p>
        </w:tc>
      </w:tr>
      <w:tr>
        <w:trPr/>
        <w:tc>
          <w:tcPr>
            <w:tcW w:w="482350" w:type="pct"/>
            <w:gridSpan w:val="2"/>
          </w:tcPr>
          <w:p>
            <w:pPr/>
            <w:r>
              <w:rPr/>
              <w:t xml:space="preserve">2 horas y 30 minutos    </w:t>
            </w:r>
          </w:p>
        </w:tc>
        <w:tc>
          <w:tcPr>
            <w:tcW w:w="14400" w:type="pct"/>
          </w:tcPr>
          <w:p>
            <w:pPr/>
            <w:r>
              <w:rPr/>
              <w:t xml:space="preserve">1,62</w:t>
            </w:r>
          </w:p>
        </w:tc>
      </w:tr>
      <w:tr>
        <w:trPr/>
        <w:tc>
          <w:tcPr>
            <w:tcW w:w="482350" w:type="pct"/>
            <w:gridSpan w:val="2"/>
          </w:tcPr>
          <w:p>
            <w:pPr/>
            <w:r>
              <w:rPr/>
              <w:t xml:space="preserve">Tarifa Especial (4 horas)    </w:t>
            </w:r>
          </w:p>
        </w:tc>
        <w:tc>
          <w:tcPr>
            <w:tcW w:w="14400" w:type="pct"/>
          </w:tcPr>
          <w:p>
            <w:pPr/>
            <w:r>
              <w:rPr/>
              <w:t xml:space="preserve">2,00</w:t>
            </w:r>
          </w:p>
        </w:tc>
      </w:tr>
      <w:tr>
        <w:trPr/>
        <w:tc>
          <w:tcPr>
            <w:tcW w:w="496750" w:type="pct"/>
            <w:gridSpan w:val="3"/>
          </w:tcPr>
          <w:p>
            <w:pPr/>
            <w:r>
              <w:rPr/>
              <w:t xml:space="preserve">Para casos excepcionales en los que el usuario prevé que el tiempo de estacionamiento puede superar las dos horas y treinta minutos indicadas en la ordenanza, existe la Tarifa Especial: por 2 € se obtiene un tiquet para 4 horas de estacionamiento</w:t>
            </w:r>
          </w:p>
        </w:tc>
      </w:tr>
      <w:tr>
        <w:trPr/>
        <w:tc>
          <w:tcPr>
            <w:tcW w:w="100" w:type="pct"/>
            <w:gridSpan w:val="3"/>
          </w:tcPr>
          <w:p>
            <w:pPr/>
          </w:p>
          <w:p>
            <w:pPr/>
          </w:p>
        </w:tc>
      </w:tr>
    </w:tbl>
    <w:tbl>
      <w:tblGrid>
        <w:gridCol w:w="3250" w:type="dxa"/>
        <w:gridCol w:w="17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2150" w:type="pct"/>
            <w:gridSpan w:val="3"/>
          </w:tcPr>
          <w:p>
            <w:pPr/>
            <w:r>
              <w:rPr/>
              <w:t xml:space="preserve">Zona Parking</w:t>
            </w:r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5 horas     </w:t>
            </w:r>
          </w:p>
        </w:tc>
        <w:tc>
          <w:tcPr>
            <w:tcW w:w="1750" w:type="pct"/>
          </w:tcPr>
          <w:p>
            <w:pPr/>
            <w:r>
              <w:rPr/>
              <w:t xml:space="preserve">1,00€</w:t>
            </w:r>
          </w:p>
        </w:tc>
      </w:tr>
      <w:tr>
        <w:trPr/>
        <w:tc>
          <w:tcPr>
            <w:tcW w:w="2150" w:type="pct"/>
            <w:gridSpan w:val="3"/>
          </w:tcPr>
          <w:p>
            <w:pPr/>
            <w:r>
              <w:rPr/>
              <w:t xml:space="preserve">El horario cuenta desde la mañana a la tarde, sin computar el descanso de mediodía (13:00–16:00 h) y de un día a otro</w:t>
            </w:r>
          </w:p>
        </w:tc>
      </w:tr>
      <w:tr>
        <w:trPr/>
        <w:tc>
          <w:tcPr>
            <w:tcW w:w="100" w:type="pct"/>
            <w:gridSpan w:val="3"/>
          </w:tcPr>
          <w:p>
            <w:pPr/>
          </w:p>
        </w:tc>
      </w:tr>
    </w:tbl>
    <w:tbl>
      <w:tblGrid>
        <w:gridCol w:w="3250" w:type="dxa"/>
        <w:gridCol w:w="17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2150" w:type="pct"/>
            <w:gridSpan w:val="3"/>
          </w:tcPr>
          <w:p>
            <w:pPr/>
            <w:r>
              <w:rPr/>
              <w:t xml:space="preserve">Anulación de Denuncias</w:t>
            </w:r>
          </w:p>
        </w:tc>
      </w:tr>
      <w:tr>
        <w:trPr/>
        <w:tc>
          <w:tcPr>
            <w:tcW w:w="3250" w:type="pct"/>
            <w:gridSpan w:val="2"/>
          </w:tcPr>
          <w:p>
            <w:pPr/>
            <w:r>
              <w:rPr/>
              <w:t xml:space="preserve">Anulación de Denuncias</w:t>
            </w:r>
          </w:p>
        </w:tc>
        <w:tc>
          <w:tcPr>
            <w:tcW w:w="1750" w:type="pct"/>
          </w:tcPr>
          <w:p>
            <w:pPr/>
            <w:r>
              <w:rPr/>
              <w:t xml:space="preserve">1,60 €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2026-06-23T19:07:27+00:00</dcterms:created>
  <dcterms:modified xsi:type="dcterms:W3CDTF">2026-06-23T19:07:27+00:00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