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00" w:type="pct"/>
            <w:gridSpan w:val="3"/>
          </w:tcPr>
          <w:p>
            <w:pPr/>
          </w:p>
          <w:p>
            <w:pPr/>
            <w:r>
              <w:rPr/>
              <w:t xml:space="preserve"> </w:t>
            </w:r>
          </w:p>
        </w:tc>
      </w:tr>
      <w:tr>
        <w:trPr>
          <w:tblHeader w:val="1"/>
        </w:trPr>
        <w:tc>
          <w:tcPr>
            <w:tcW w:w="2150" w:type="pct"/>
            <w:gridSpan w:val="3"/>
          </w:tcPr>
          <w:p>
            <w:pPr/>
            <w:r>
              <w:rPr/>
              <w:t xml:space="preserve">Nichos y Parcelas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Por venta    </w:t>
            </w:r>
          </w:p>
        </w:tc>
        <w:tc>
          <w:tcPr>
            <w:tcW w:w="1750" w:type="pct"/>
          </w:tcPr>
          <w:p>
            <w:pPr/>
            <w:r>
              <w:rPr/>
              <w:t xml:space="preserve">776,81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Compra para uso inmediato y por razón de imperiosa necesidad (siempre y cuando se cumplan las dos condiciones a la vez: uso inmediato (fallecimiento) e informe social)</w:t>
            </w:r>
          </w:p>
        </w:tc>
        <w:tc>
          <w:tcPr>
            <w:tcW w:w="1750" w:type="pct"/>
          </w:tcPr>
          <w:p>
            <w:pPr/>
            <w:r>
              <w:rPr/>
              <w:t xml:space="preserve">324,71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Alquiler por 5 años    </w:t>
            </w:r>
          </w:p>
        </w:tc>
        <w:tc>
          <w:tcPr>
            <w:tcW w:w="1750" w:type="pct"/>
          </w:tcPr>
          <w:p>
            <w:pPr/>
            <w:r>
              <w:rPr/>
              <w:t xml:space="preserve">73,98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Alquiler por cada año más</w:t>
            </w:r>
          </w:p>
        </w:tc>
        <w:tc>
          <w:tcPr>
            <w:tcW w:w="1750" w:type="pct"/>
          </w:tcPr>
          <w:p>
            <w:pPr/>
            <w:r>
              <w:rPr/>
              <w:t xml:space="preserve">14,15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Venta nicho osario</w:t>
            </w:r>
          </w:p>
        </w:tc>
        <w:tc>
          <w:tcPr>
            <w:tcW w:w="1750" w:type="pct"/>
          </w:tcPr>
          <w:p>
            <w:pPr/>
            <w:r>
              <w:rPr/>
              <w:t xml:space="preserve">31,07</w:t>
            </w:r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700" w:type="pct"/>
            <w:gridSpan w:val="3"/>
          </w:tcPr>
          <w:p>
            <w:pPr/>
            <w:r>
              <w:rPr/>
              <w:t xml:space="preserve"> Colocación de lápidas,cruces,....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Lápida en nicho </w:t>
            </w:r>
          </w:p>
        </w:tc>
        <w:tc>
          <w:tcPr>
            <w:tcW w:w="1750" w:type="pct"/>
          </w:tcPr>
          <w:p>
            <w:pPr/>
            <w:r>
              <w:rPr/>
              <w:t xml:space="preserve">19,30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Lápida sobre fosa</w:t>
            </w:r>
          </w:p>
        </w:tc>
        <w:tc>
          <w:tcPr>
            <w:tcW w:w="154950" w:type="pct"/>
          </w:tcPr>
          <w:p>
            <w:pPr/>
            <w:r>
              <w:rPr/>
              <w:t xml:space="preserve">16,08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Inscripción en mausoleo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16,08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Instalación de cruz y otros signos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8,36</w:t>
            </w:r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700" w:type="pct"/>
            <w:gridSpan w:val="3"/>
          </w:tcPr>
          <w:p>
            <w:pPr/>
            <w:r>
              <w:rPr/>
              <w:t xml:space="preserve">Otras actuaciones 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Inhumaciones </w:t>
            </w:r>
          </w:p>
        </w:tc>
        <w:tc>
          <w:tcPr>
            <w:tcW w:w="1750" w:type="pct"/>
          </w:tcPr>
          <w:p>
            <w:pPr/>
            <w:r>
              <w:rPr/>
              <w:t xml:space="preserve">36,98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Cambio de restos de nicho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36,98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Apertura de ellos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36,98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Cambio de restos de fosas o apertura de ellas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8,04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Servicio de tanatorio 24 horas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93,22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Derechos de título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9,63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Cualquier otra licencia o permiso (independientemente de los costes básicos de ejecución si son realizados por la Administración)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6,22</w:t>
            </w:r>
          </w:p>
        </w:tc>
      </w:tr>
    </w:tbl>
    <w:tbl>
      <w:tblGrid>
        <w:gridCol w:w="482350" w:type="dxa"/>
        <w:gridCol w:w="144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96750" w:type="pct"/>
            <w:gridSpan w:val="3"/>
          </w:tcPr>
          <w:p>
            <w:pPr/>
            <w:r>
              <w:rPr/>
              <w:t xml:space="preserve">Zona Azul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Primeros 30 minutos o fracción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0,35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1 hora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0,55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2 horas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1,20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2 horas y 30 minutos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1,62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Tarifa Especial (4 horas)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2,00</w:t>
            </w:r>
          </w:p>
        </w:tc>
      </w:tr>
      <w:tr>
        <w:trPr/>
        <w:tc>
          <w:tcPr>
            <w:tcW w:w="496750" w:type="pct"/>
            <w:gridSpan w:val="3"/>
          </w:tcPr>
          <w:p>
            <w:pPr/>
            <w:r>
              <w:rPr/>
              <w:t xml:space="preserve">Para casos excepcionales en los que el usuario prevé que el tiempo de estacionamiento puede superar las dos horas y treinta minutos indicadas en la ordenanza, existe la Tarifa Especial: por 2 € se obtiene un tiquet para 4 horas de estacionamiento</w:t>
            </w:r>
          </w:p>
        </w:tc>
      </w:tr>
      <w:tr>
        <w:trPr/>
        <w:tc>
          <w:tcPr>
            <w:tcW w:w="100" w:type="pct"/>
            <w:gridSpan w:val="3"/>
          </w:tcPr>
          <w:p>
            <w:pPr/>
          </w:p>
          <w:p>
            <w:pPr/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150" w:type="pct"/>
            <w:gridSpan w:val="3"/>
          </w:tcPr>
          <w:p>
            <w:pPr/>
            <w:r>
              <w:rPr/>
              <w:t xml:space="preserve">Zona Parking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5 horas     </w:t>
            </w:r>
          </w:p>
        </w:tc>
        <w:tc>
          <w:tcPr>
            <w:tcW w:w="1750" w:type="pct"/>
          </w:tcPr>
          <w:p>
            <w:pPr/>
            <w:r>
              <w:rPr/>
              <w:t xml:space="preserve">1,00€</w:t>
            </w:r>
          </w:p>
        </w:tc>
      </w:tr>
      <w:tr>
        <w:trPr/>
        <w:tc>
          <w:tcPr>
            <w:tcW w:w="2150" w:type="pct"/>
            <w:gridSpan w:val="3"/>
          </w:tcPr>
          <w:p>
            <w:pPr/>
            <w:r>
              <w:rPr/>
              <w:t xml:space="preserve">El horario cuenta desde la mañana a la tarde, sin computar el descanso de mediodía (13:00–16:00 h) y de un día a otro</w:t>
            </w:r>
          </w:p>
        </w:tc>
      </w:tr>
      <w:tr>
        <w:trPr/>
        <w:tc>
          <w:tcPr>
            <w:tcW w:w="100" w:type="pct"/>
            <w:gridSpan w:val="3"/>
          </w:tcPr>
          <w:p>
            <w:pPr/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150" w:type="pct"/>
            <w:gridSpan w:val="3"/>
          </w:tcPr>
          <w:p>
            <w:pPr/>
            <w:r>
              <w:rPr/>
              <w:t xml:space="preserve">Anulación de Denuncias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Anulación de Denuncias</w:t>
            </w:r>
          </w:p>
        </w:tc>
        <w:tc>
          <w:tcPr>
            <w:tcW w:w="1750" w:type="pct"/>
          </w:tcPr>
          <w:p>
            <w:pPr/>
            <w:r>
              <w:rPr/>
              <w:t xml:space="preserve">1,60 €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2026-05-09T12:31:36+00:00</dcterms:created>
  <dcterms:modified xsi:type="dcterms:W3CDTF">2026-05-09T12:31:36+00:00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