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cumplimiento de lo establecido en el Indicador 1054 de la Ley Canaria de Transparencia (Ley 12/2014, de 26 de diciembre), apartado 5 (“Retribuciones”), sección 5.2 (“Personal funcionario, laboral y estatuario”), se hace público que, en relación con las aportaciones a planes de pensiones o seguros colectivos y cualquier retribución extrasalarial, articuladas en función de los niveles y cargos existentes en la empresa municipal GALOBRA, durante los ejercicios 2021, 2022, 2023, 2024 y </w:t>
      </w:r>
      <w:r>
        <w:rPr>
          <w:b w:val="1"/>
          <w:bCs w:val="1"/>
        </w:rPr>
        <w:t xml:space="preserve">no se ha registrado actividad en dicho concepto</w:t>
      </w:r>
      <w:r>
        <w:rPr/>
        <w:t xml:space="preserve">.</w:t>
      </w:r>
    </w:p>
    <w:p>
      <w:pPr/>
      <w:r>
        <w:rPr/>
        <w:t xml:space="preserve">En consecuencia, no se han realizado aportaciones ni satisficio retribución extrasalarial alguna en el periodo evaluado. Los interesados pueden ejercer su derecho de acceso a la información pública mediante los procedimientos legalmente establecidos.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2026-08-08T07:24:01+00:00</dcterms:created>
  <dcterms:modified xsi:type="dcterms:W3CDTF">2026-08-08T07:24:01+00:00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