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CAPITAL SOCIAL, DOTACION FUNDACIONAL O RECURSOS</w:t>
      </w:r>
    </w:p>
    <w:p>
      <w:pPr>
        <w:jc w:val="both"/>
      </w:pPr>
      <w:r>
        <w:rPr/>
        <w:t xml:space="preserve">El capital social esta dotado en  6.713.000 €  y los recursos de los que dispone la sociedad deriva de las encomiendas de gestión  realizadas por el Ayuntamiento de  Gáldar a  Galobra SA  como medio propio.   Los recursos de los que dispone Galobra SA se incluye en el indicador de  los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2026-08-08T06:19:02+00:00</dcterms:created>
  <dcterms:modified xsi:type="dcterms:W3CDTF">2026-08-08T06:19:02+00:00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