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GALOBRA SAU desarrolla como actividades de carácter esencial:</w:t>
      </w:r>
    </w:p>
    <w:p>
      <w:pPr/>
      <w:r>
        <w:rPr/>
        <w:t xml:space="preserve">Y en general cualquiera de las actividades encomendada por el Excmo. Ayto. de Gáldar de las indicadas en el objeto social (artículo 2) de los estatutos sociales de Galobra S.A.U. y que contribuyan a dar una garantía de continuidad de su actividad empresarial en el futuro y por tanto acentuar la estabilidad de la Sociedad.</w:t>
      </w:r>
    </w:p>
    <w:p>
      <w:pPr/>
      <w:r>
        <w:rPr>
          <w:b w:val="1"/>
          <w:bCs w:val="1"/>
        </w:rPr>
        <w:t xml:space="preserve">Condiciones de acceso, tarifas y normativa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2026-06-23T19:07:10+00:00</dcterms:created>
  <dcterms:modified xsi:type="dcterms:W3CDTF">2026-06-23T19:07:10+00:00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