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45550" w:type="dxa"/>
        <w:gridCol w:w="276900" w:type="dxa"/>
        <w:gridCol w:w="494600" w:type="dxa"/>
      </w:tblGrid>
      <w:tblPr>
        <w:tblW w:w="5000" w:type="pct"/>
        <w:tblLayout w:type="autofit"/>
        <w:bidiVisual w:val="0"/>
      </w:tblPr>
      <w:tr>
        <w:trPr>
          <w:tblHeader w:val="1"/>
        </w:trPr>
        <w:tc>
          <w:tcPr>
            <w:tcW w:w="245550" w:type="pct"/>
            <w:vAlign w:val="center"/>
            <w:gridSpan w:val="2"/>
          </w:tcPr>
          <w:p>
            <w:pPr>
              <w:jc w:val="center"/>
            </w:pPr>
            <w:r>
              <w:rPr/>
              <w:t xml:space="preserve">Junta General de Accionistas</w:t>
            </w:r>
          </w:p>
        </w:tc>
        <w:tc>
          <w:tcPr>
            <w:tcW w:w="276900" w:type="pct"/>
            <w:vAlign w:val="center"/>
          </w:tcPr>
          <w:p>
            <w:pPr>
              <w:jc w:val="center"/>
            </w:pPr>
            <w:r>
              <w:rPr/>
              <w:t xml:space="preserve">Miembros del Consejo de Administración de Galobra SAU 2023-2027</w:t>
            </w:r>
          </w:p>
        </w:tc>
        <w:tc>
          <w:tcPr>
            <w:tcW w:w="494600" w:type="pct"/>
            <w:vAlign w:val="center"/>
          </w:tcPr>
          <w:p>
            <w:pPr>
              <w:jc w:val="center"/>
            </w:pPr>
            <w:r>
              <w:rPr/>
              <w:t xml:space="preserve">Miembros del Consejo de Administración de Galobra SAU 2023-2027</w:t>
            </w:r>
          </w:p>
        </w:tc>
      </w:tr>
      <w:tr>
        <w:trPr/>
        <w:tc>
          <w:tcPr>
            <w:tcW w:w="245550" w:type="pct"/>
            <w:vAlign w:val="center"/>
            <w:gridSpan w:val="2"/>
          </w:tcPr>
          <w:p>
            <w:pPr>
              <w:jc w:val="center"/>
            </w:pPr>
          </w:p>
        </w:tc>
        <w:tc>
          <w:tcPr>
            <w:tcW w:w="276900" w:type="pct"/>
            <w:vAlign w:val="center"/>
          </w:tcPr>
          <w:p>
            <w:pPr>
              <w:jc w:val="center"/>
            </w:pPr>
          </w:p>
        </w:tc>
        <w:tc>
          <w:tcPr>
            <w:tcW w:w="494600" w:type="pct"/>
            <w:vAlign w:val="center"/>
          </w:tcPr>
          <w:p>
            <w:pPr>
              <w:jc w:val="center"/>
            </w:pPr>
            <w:r>
              <w:rPr/>
              <w:t xml:space="preserve">, en calidad de Presidenta</w:t>
            </w:r>
          </w:p>
        </w:tc>
      </w:tr>
      <w:tr>
        <w:trPr/>
        <w:tc>
          <w:tcPr>
            <w:tcW w:w="245550" w:type="pct"/>
            <w:vAlign w:val="center"/>
            <w:gridSpan w:val="2"/>
          </w:tcPr>
          <w:p>
            <w:pPr>
              <w:jc w:val="center"/>
            </w:pPr>
          </w:p>
        </w:tc>
        <w:tc>
          <w:tcPr>
            <w:tcW w:w="276900" w:type="pct"/>
            <w:vAlign w:val="center"/>
          </w:tcPr>
          <w:p>
            <w:pPr>
              <w:jc w:val="center"/>
            </w:pPr>
          </w:p>
        </w:tc>
        <w:tc>
          <w:tcPr>
            <w:tcW w:w="494600" w:type="pct"/>
            <w:vAlign w:val="center"/>
          </w:tcPr>
          <w:p>
            <w:pPr>
              <w:jc w:val="center"/>
            </w:pPr>
            <w:r>
              <w:rPr/>
              <w:t xml:space="preserve">, en calidad de Vicepresidenta</w:t>
            </w:r>
          </w:p>
        </w:tc>
      </w:tr>
      <w:tr>
        <w:trPr/>
        <w:tc>
          <w:tcPr>
            <w:tcW w:w="245550" w:type="pct"/>
            <w:vAlign w:val="center"/>
            <w:gridSpan w:val="2"/>
          </w:tcPr>
          <w:p>
            <w:pPr>
              <w:jc w:val="center"/>
            </w:pPr>
          </w:p>
        </w:tc>
        <w:tc>
          <w:tcPr>
            <w:tcW w:w="276900" w:type="pct"/>
            <w:vAlign w:val="center"/>
          </w:tcPr>
          <w:p>
            <w:pPr>
              <w:jc w:val="center"/>
            </w:pPr>
          </w:p>
        </w:tc>
        <w:tc>
          <w:tcPr>
            <w:tcW w:w="494600" w:type="pct"/>
            <w:vAlign w:val="center"/>
          </w:tcPr>
          <w:p>
            <w:pPr>
              <w:jc w:val="center"/>
            </w:pPr>
            <w:r>
              <w:rPr/>
              <w:t xml:space="preserve">, en calidad de Secretario</w:t>
            </w:r>
          </w:p>
        </w:tc>
      </w:tr>
      <w:tr>
        <w:trPr/>
        <w:tc>
          <w:tcPr>
            <w:tcW w:w="245550" w:type="pct"/>
            <w:vAlign w:val="center"/>
            <w:gridSpan w:val="2"/>
          </w:tcPr>
          <w:p>
            <w:pPr>
              <w:jc w:val="center"/>
            </w:pPr>
          </w:p>
        </w:tc>
        <w:tc>
          <w:tcPr>
            <w:tcW w:w="276900" w:type="pct"/>
            <w:vAlign w:val="center"/>
          </w:tcPr>
          <w:p>
            <w:pPr>
              <w:jc w:val="center"/>
            </w:pPr>
          </w:p>
        </w:tc>
        <w:tc>
          <w:tcPr>
            <w:tcW w:w="494600" w:type="pct"/>
            <w:vAlign w:val="center"/>
          </w:tcPr>
          <w:p>
            <w:pPr>
              <w:jc w:val="center"/>
            </w:pPr>
            <w:r>
              <w:rPr/>
              <w:t xml:space="preserve"> </w:t>
            </w:r>
          </w:p>
        </w:tc>
      </w:tr>
      <w:tr>
        <w:trPr/>
        <w:tc>
          <w:tcPr>
            <w:tcW w:w="245550" w:type="pct"/>
            <w:vAlign w:val="center"/>
            <w:gridSpan w:val="2"/>
          </w:tcPr>
          <w:p>
            <w:pPr>
              <w:jc w:val="center"/>
            </w:pPr>
          </w:p>
        </w:tc>
        <w:tc>
          <w:tcPr>
            <w:tcW w:w="276900" w:type="pct"/>
            <w:vAlign w:val="center"/>
          </w:tcPr>
          <w:p>
            <w:pPr>
              <w:jc w:val="center"/>
            </w:pPr>
          </w:p>
        </w:tc>
        <w:tc>
          <w:tcPr>
            <w:tcW w:w="494600" w:type="pct"/>
            <w:vAlign w:val="center"/>
          </w:tcPr>
          <w:p>
            <w:pPr>
              <w:jc w:val="center"/>
            </w:pPr>
            <w:r>
              <w:rPr/>
              <w:t xml:space="preserve"> </w:t>
            </w:r>
          </w:p>
        </w:tc>
      </w:tr>
      <w:tr>
        <w:trPr/>
        <w:tc>
          <w:tcPr>
            <w:tcW w:w="245550" w:type="pct"/>
            <w:vAlign w:val="center"/>
            <w:gridSpan w:val="2"/>
          </w:tcPr>
          <w:p>
            <w:pPr>
              <w:jc w:val="center"/>
            </w:pPr>
          </w:p>
        </w:tc>
        <w:tc>
          <w:tcPr>
            <w:tcW w:w="276900" w:type="pct"/>
            <w:vAlign w:val="center"/>
          </w:tcPr>
          <w:p>
            <w:pPr>
              <w:jc w:val="center"/>
            </w:pPr>
          </w:p>
        </w:tc>
      </w:tr>
      <w:tr>
        <w:trPr/>
        <w:tc>
          <w:tcPr>
            <w:tcW w:w="245550" w:type="pct"/>
            <w:vAlign w:val="center"/>
            <w:gridSpan w:val="2"/>
          </w:tcPr>
          <w:p>
            <w:pPr>
              <w:jc w:val="center"/>
            </w:pPr>
          </w:p>
        </w:tc>
        <w:tc>
          <w:tcPr>
            <w:tcW w:w="276900" w:type="pct"/>
            <w:vAlign w:val="center"/>
          </w:tcPr>
          <w:p>
            <w:pPr>
              <w:jc w:val="center"/>
            </w:pPr>
          </w:p>
        </w:tc>
      </w:tr>
      <w:tr>
        <w:trPr/>
        <w:tc>
          <w:tcPr>
            <w:tcW w:w="245550" w:type="pct"/>
            <w:vAlign w:val="center"/>
            <w:gridSpan w:val="2"/>
          </w:tcPr>
          <w:p>
            <w:pPr>
              <w:jc w:val="center"/>
            </w:pPr>
          </w:p>
        </w:tc>
        <w:tc>
          <w:tcPr>
            <w:tcW w:w="276900" w:type="pct"/>
            <w:vAlign w:val="center"/>
          </w:tcPr>
          <w:p>
            <w:pPr>
              <w:jc w:val="center"/>
            </w:pPr>
          </w:p>
        </w:tc>
      </w:tr>
      <w:tr>
        <w:trPr/>
        <w:tc>
          <w:tcPr>
            <w:tcW w:w="245550" w:type="pct"/>
            <w:vAlign w:val="center"/>
            <w:gridSpan w:val="2"/>
          </w:tcPr>
          <w:p>
            <w:pPr>
              <w:jc w:val="center"/>
            </w:pPr>
          </w:p>
        </w:tc>
        <w:tc>
          <w:tcPr>
            <w:tcW w:w="276900" w:type="pct"/>
            <w:vAlign w:val="center"/>
          </w:tcPr>
          <w:p>
            <w:pPr>
              <w:jc w:val="center"/>
            </w:pPr>
          </w:p>
        </w:tc>
      </w:tr>
      <w:tr>
        <w:trPr/>
        <w:tc>
          <w:tcPr>
            <w:tcW w:w="245550" w:type="pct"/>
            <w:vAlign w:val="center"/>
            <w:gridSpan w:val="2"/>
          </w:tcPr>
          <w:p>
            <w:pPr>
              <w:jc w:val="center"/>
            </w:pPr>
          </w:p>
        </w:tc>
        <w:tc>
          <w:tcPr>
            <w:tcW w:w="276900" w:type="pct"/>
            <w:vAlign w:val="center"/>
          </w:tcPr>
          <w:p>
            <w:pPr>
              <w:jc w:val="center"/>
            </w:pPr>
            <w:r>
              <w:rPr/>
              <w:t xml:space="preserve"> </w:t>
            </w: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bl>
    <w:tbl>
      <w:tblGrid>
        <w:gridCol w:w="262100" w:type="dxa"/>
        <w:gridCol w:w="25150" w:type="dxa"/>
      </w:tblGrid>
      <w:tblPr>
        <w:tblW w:w="5000" w:type="pct"/>
        <w:tblLayout w:type="autofit"/>
        <w:bidiVisual w:val="0"/>
      </w:tblPr>
      <w:tr>
        <w:trPr>
          <w:tblHeader w:val="1"/>
        </w:trPr>
        <w:tc>
          <w:tcPr>
            <w:tcW w:w="262100" w:type="pct"/>
            <w:vAlign w:val="center"/>
          </w:tcPr>
          <w:p>
            <w:pPr>
              <w:jc w:val="center"/>
            </w:pPr>
            <w:r>
              <w:rPr/>
              <w:t xml:space="preserve">Sede</w:t>
            </w:r>
          </w:p>
        </w:tc>
        <w:tc>
          <w:tcPr>
            <w:tcW w:w="25150" w:type="pct"/>
            <w:vAlign w:val="center"/>
            <w:gridSpan w:val="2"/>
          </w:tcPr>
          <w:p>
            <w:pPr>
              <w:jc w:val="center"/>
            </w:pPr>
            <w:r>
              <w:rPr/>
              <w:t xml:space="preserve">Avenida Concejal Pepito Jorge Quintana, 150, 35460 Gáldar, Las Palmas</w:t>
            </w:r>
          </w:p>
        </w:tc>
      </w:tr>
    </w:tbl>
    <w:p>
      <w:pPr>
        <w:pStyle w:val="Heading5"/>
      </w:pPr>
      <w:r>
        <w:rPr/>
        <w:t xml:space="preserve"> </w:t>
      </w:r>
    </w:p>
    <w:tbl>
      <w:tblGrid>
        <w:gridCol w:w="24650" w:type="dxa"/>
        <w:gridCol w:w="262100" w:type="dxa"/>
      </w:tblGrid>
      <w:tblPr>
        <w:tblW w:w="650" w:type="pct"/>
        <w:tblLayout w:type="autofit"/>
        <w:bidiVisual w:val="0"/>
      </w:tblPr>
      <w:tr>
        <w:trPr>
          <w:tblHeader w:val="1"/>
        </w:trPr>
        <w:tc>
          <w:tcPr>
            <w:tcW w:w="24650" w:type="pct"/>
            <w:vAlign w:val="center"/>
            <w:gridSpan w:val="2"/>
          </w:tcPr>
          <w:p>
            <w:pPr>
              <w:jc w:val="center"/>
            </w:pPr>
            <w:r>
              <w:rPr/>
              <w:t xml:space="preserve">Documento</w:t>
            </w:r>
          </w:p>
        </w:tc>
        <w:tc>
          <w:tcPr>
            <w:tcW w:w="262100" w:type="pct"/>
            <w:vAlign w:val="center"/>
          </w:tcPr>
          <w:p>
            <w:pPr>
              <w:jc w:val="center"/>
            </w:pPr>
            <w:r>
              <w:rPr/>
              <w:t xml:space="preserve">Descargar</w:t>
            </w:r>
          </w:p>
        </w:tc>
      </w:tr>
      <w:tr>
        <w:trPr/>
        <w:tc>
          <w:tcPr>
            <w:tcW w:w="24650" w:type="pct"/>
            <w:vAlign w:val="center"/>
            <w:gridSpan w:val="2"/>
          </w:tcPr>
          <w:p>
            <w:pPr>
              <w:jc w:val="center"/>
            </w:pPr>
            <w:r>
              <w:rPr/>
              <w:t xml:space="preserve">Nombramiento Presidenta</w:t>
            </w:r>
          </w:p>
        </w:tc>
        <w:tc>
          <w:tcPr>
            <w:tcW w:w="262100" w:type="pct"/>
            <w:vAlign w:val="center"/>
          </w:tcPr>
          <w:p>
            <w:pPr>
              <w:jc w:val="center"/>
            </w:pPr>
          </w:p>
        </w:tc>
      </w:tr>
      <w:tr>
        <w:trPr/>
        <w:tc>
          <w:tcPr>
            <w:tcW w:w="650" w:type="pct"/>
            <w:vAlign w:val="center"/>
            <w:gridSpan w:val="2"/>
          </w:tcPr>
          <w:p>
            <w:pPr>
              <w:jc w:val="center"/>
            </w:pPr>
            <w:r>
              <w:rPr/>
              <w:t xml:space="preserve">Nombramientos</w:t>
            </w:r>
          </w:p>
        </w:tc>
        <w:tc>
          <w:tcPr>
            <w:tcW w:w="262100" w:type="pct"/>
            <w:vAlign w:val="center"/>
          </w:tcPr>
          <w:p>
            <w:pPr>
              <w:jc w:val="center"/>
            </w:pPr>
          </w:p>
        </w:tc>
      </w:tr>
      <w:tr>
        <w:trPr/>
        <w:tc>
          <w:tcPr>
            <w:tcW w:w="650" w:type="pct"/>
            <w:vAlign w:val="center"/>
            <w:gridSpan w:val="2"/>
          </w:tcPr>
          <w:p>
            <w:pPr>
              <w:jc w:val="center"/>
            </w:pPr>
            <w:r>
              <w:rPr/>
              <w:t xml:space="preserve">Identificación perfil méritos académicos y trayectoria profesional</w:t>
            </w:r>
          </w:p>
        </w:tc>
        <w:tc>
          <w:tcPr>
            <w:tcW w:w="262100" w:type="pct"/>
            <w:vAlign w:val="center"/>
          </w:tcPr>
          <w:p>
            <w:pPr>
              <w:jc w:val="center"/>
            </w:pPr>
          </w:p>
        </w:tc>
      </w:tr>
    </w:tbl>
    <w:p>
      <w:pPr/>
      <w:r>
        <w:rPr/>
        <w:t xml:space="preserve"> </w:t>
      </w:r>
    </w:p>
    <w:tbl>
      <w:tblGrid>
        <w:gridCol w:w="246100" w:type="dxa"/>
      </w:tblGrid>
      <w:tblPr>
        <w:tblW w:w="5000" w:type="pct"/>
        <w:tblLayout w:type="autofit"/>
        <w:bidiVisual w:val="0"/>
      </w:tblPr>
      <w:tr>
        <w:trPr>
          <w:tblHeader w:val="1"/>
        </w:trPr>
        <w:tc>
          <w:tcPr>
            <w:tcW w:w="246100" w:type="pct"/>
            <w:vAlign w:val="center"/>
            <w:gridSpan w:val="2"/>
          </w:tcPr>
          <w:p>
            <w:pPr>
              <w:jc w:val="center"/>
            </w:pPr>
            <w:r>
              <w:rPr/>
              <w:t xml:space="preserve">Funciones de la Presidenta - Idaira Chaxiraxi Mateos Moreno    </w:t>
            </w:r>
          </w:p>
        </w:tc>
      </w:tr>
      <w:tr>
        <w:trPr>
          <w:tblHeader w:val="1"/>
        </w:trPr>
        <w:tc>
          <w:tcPr>
            <w:tcW w:w="5000" w:type="pct"/>
            <w:vAlign w:val="center"/>
            <w:gridSpan w:val="2"/>
          </w:tcPr>
          <w:p>
            <w:pPr>
              <w:jc w:val="both"/>
            </w:pPr>
            <w:r>
              <w:rPr/>
              <w:t xml:space="preserve">Celebrar, modificar y extinguir contratos de compraventa, arrendamientos de bienes muebles e inmuebles, obras y servicios, trabajo, transporte, seguros y suministros, sí como, cualquier otra obligación que de los mismos se derive. Así mismo, para la aceptación de todo tipo de cesiones gratuitas y onerosas.</w:t>
            </w:r>
          </w:p>
        </w:tc>
      </w:tr>
      <w:tr>
        <w:trPr/>
        <w:tc>
          <w:tcPr>
            <w:tcW w:w="246100" w:type="pct"/>
            <w:vAlign w:val="center"/>
            <w:gridSpan w:val="2"/>
          </w:tcPr>
          <w:p>
            <w:pPr>
              <w:jc w:val="both"/>
            </w:pPr>
            <w:r>
              <w:rPr/>
              <w:t xml:space="preserve">Comprar en general toda clase de bienes muebles, eminentemente de carácter mobiliario y de necesidad para el normal funcionamiento de los servicios de la compañía.</w:t>
            </w:r>
          </w:p>
        </w:tc>
      </w:tr>
      <w:tr>
        <w:trPr/>
        <w:tc>
          <w:tcPr>
            <w:tcW w:w="5000" w:type="pct"/>
            <w:vAlign w:val="center"/>
            <w:gridSpan w:val="2"/>
          </w:tcPr>
          <w:p>
            <w:pPr>
              <w:jc w:val="both"/>
            </w:pPr>
            <w:r>
              <w:rPr/>
              <w:t xml:space="preserve">Verificar toda clase de declaraciones, reclamaciones y arbitrios que afecten a la Sociedad: interponer recursos y realizar toda clase de reclamaciones e ingresos indebidos.</w:t>
            </w:r>
          </w:p>
        </w:tc>
      </w:tr>
      <w:tr>
        <w:trPr/>
        <w:tc>
          <w:tcPr>
            <w:tcW w:w="5000" w:type="pct"/>
            <w:vAlign w:val="center"/>
            <w:gridSpan w:val="2"/>
          </w:tcPr>
          <w:p>
            <w:pPr>
              <w:jc w:val="both"/>
            </w:pPr>
            <w:r>
              <w:rPr/>
              <w:t xml:space="preserve">Asistir a reuniones de comunidades en las que estén ubicadas las delegaciones de la compañía.</w:t>
            </w:r>
          </w:p>
        </w:tc>
      </w:tr>
      <w:tr>
        <w:trPr/>
        <w:tc>
          <w:tcPr>
            <w:tcW w:w="5000" w:type="pct"/>
            <w:vAlign w:val="center"/>
            <w:gridSpan w:val="2"/>
          </w:tcPr>
          <w:p>
            <w:pPr>
              <w:jc w:val="both"/>
            </w:pPr>
            <w:r>
              <w:rPr/>
              <w:t xml:space="preserve">Organizar, dirigir y vigilar el régimen interno de la Sociedad y de su personal.</w:t>
            </w:r>
          </w:p>
        </w:tc>
      </w:tr>
      <w:tr>
        <w:trPr/>
        <w:tc>
          <w:tcPr>
            <w:tcW w:w="5000" w:type="pct"/>
            <w:vAlign w:val="center"/>
            <w:gridSpan w:val="2"/>
          </w:tcPr>
          <w:p>
            <w:pPr>
              <w:jc w:val="both"/>
            </w:pPr>
            <w:r>
              <w:rPr/>
              <w:t xml:space="preserve">Invertir en concursos, subastas y procedimientos análogos, presentar y modificar proposiciones, aceptar adjudicaciones, formalizar contratos, constituir y retirar fianzas provisionales y definitivas.</w:t>
            </w:r>
          </w:p>
        </w:tc>
      </w:tr>
      <w:tr>
        <w:trPr/>
        <w:tc>
          <w:tcPr>
            <w:tcW w:w="5000" w:type="pct"/>
            <w:vAlign w:val="center"/>
            <w:gridSpan w:val="2"/>
          </w:tcPr>
          <w:p>
            <w:pPr>
              <w:jc w:val="both"/>
            </w:pPr>
            <w:r>
              <w:rPr/>
              <w:t xml:space="preserve">Efectuar cobros y pagos por cualquier cantidad, incluso respecto al Estado, Provincia, Municipio y otras entidades públicas.</w:t>
            </w:r>
          </w:p>
        </w:tc>
      </w:tr>
      <w:tr>
        <w:trPr/>
        <w:tc>
          <w:tcPr>
            <w:tcW w:w="5000" w:type="pct"/>
            <w:vAlign w:val="center"/>
            <w:gridSpan w:val="2"/>
          </w:tcPr>
          <w:p>
            <w:pPr>
              <w:jc w:val="both"/>
            </w:pPr>
            <w:r>
              <w:rPr/>
              <w:t xml:space="preserve">Llevar la correspondencia y contabilidad de la Sociedad. Enviar y recibir certificados, giros, telegramas y actuar plenamente en relación con Correos, Telégrafos, Teléfonos u otros medios de comunicación.</w:t>
            </w:r>
          </w:p>
        </w:tc>
      </w:tr>
      <w:tr>
        <w:trPr/>
        <w:tc>
          <w:tcPr>
            <w:tcW w:w="5000" w:type="pct"/>
            <w:vAlign w:val="center"/>
            <w:gridSpan w:val="2"/>
          </w:tcPr>
          <w:p>
            <w:pPr>
              <w:jc w:val="both"/>
            </w:pPr>
            <w:r>
              <w:rPr/>
              <w:t xml:space="preserve">Determinar la colocación o destino de los fondos o bienes disponibles y participar en empresas, bien en su constitución o posteriormente,</w:t>
            </w:r>
          </w:p>
        </w:tc>
      </w:tr>
      <w:tr>
        <w:trPr/>
        <w:tc>
          <w:tcPr>
            <w:tcW w:w="5000" w:type="pct"/>
            <w:vAlign w:val="center"/>
            <w:gridSpan w:val="2"/>
          </w:tcPr>
          <w:p>
            <w:pPr>
              <w:jc w:val="both"/>
            </w:pPr>
            <w:r>
              <w:rPr/>
              <w:t xml:space="preserve">Abrir, continuar y cancelar cuantas corrientes, de ahorro o entidades de crédito, incluso en el banco de España u otros entes públicos.</w:t>
            </w:r>
          </w:p>
        </w:tc>
      </w:tr>
      <w:tr>
        <w:trPr/>
        <w:tc>
          <w:tcPr>
            <w:tcW w:w="5000" w:type="pct"/>
            <w:vAlign w:val="center"/>
            <w:gridSpan w:val="2"/>
          </w:tcPr>
          <w:p>
            <w:pPr>
              <w:jc w:val="both"/>
            </w:pPr>
            <w:r>
              <w:rPr/>
              <w:t xml:space="preserve">Transigir y someterse a arbitrajes privados.</w:t>
            </w:r>
          </w:p>
        </w:tc>
      </w:tr>
      <w:tr>
        <w:trPr/>
        <w:tc>
          <w:tcPr>
            <w:tcW w:w="5000" w:type="pct"/>
            <w:vAlign w:val="center"/>
            <w:gridSpan w:val="2"/>
          </w:tcPr>
          <w:p>
            <w:pPr>
              <w:jc w:val="both"/>
            </w:pPr>
            <w:r>
              <w:rPr/>
              <w:t xml:space="preserve">Asistir a Juntas y reuniones de Sociedades, Comunidades o cualquiera otra y ejercitar el derecho a voto.</w:t>
            </w:r>
          </w:p>
        </w:tc>
      </w:tr>
      <w:tr>
        <w:trPr/>
        <w:tc>
          <w:tcPr>
            <w:tcW w:w="5000" w:type="pct"/>
            <w:vAlign w:val="center"/>
            <w:gridSpan w:val="2"/>
          </w:tcPr>
          <w:p>
            <w:pPr>
              <w:jc w:val="both"/>
            </w:pPr>
            <w:r>
              <w:rPr/>
              <w:t xml:space="preserve">Ostentar la plena representación de la Sociedad, para toda clase de actos judiciales y extrajudiciales. Comparecer y actuar en cualquier procedimiento, judicial o administrativo con la máxima amplitud, por todos sus trámites, incidencias y recursos, incluso ante el Tribunal Supremo. Hacer y recibir, requerimientos y notificaciones.v</w:t>
            </w:r>
          </w:p>
        </w:tc>
      </w:tr>
      <w:tr>
        <w:trPr/>
        <w:tc>
          <w:tcPr>
            <w:tcW w:w="5000" w:type="pct"/>
            <w:vAlign w:val="center"/>
            <w:gridSpan w:val="2"/>
          </w:tcPr>
          <w:p>
            <w:pPr>
              <w:jc w:val="both"/>
            </w:pPr>
            <w:r>
              <w:rPr/>
              <w:t xml:space="preserve">Conceder los poderes generales y especiales que tenga por conveniente, en uso de las facultades anteriormente indicadas y revocar los ya concedidos,  en  especial, queda facultado para otorgar así mismo, poderes generales para pleitos a favor de abogados y procuradores y poderes a favor de cualquier persona en el procedimiento de quiebra o suspensión de pagos, que en cada caso determine.</w:t>
            </w:r>
          </w:p>
        </w:tc>
      </w:tr>
      <w:tr>
        <w:trPr/>
        <w:tc>
          <w:tcPr>
            <w:tcW w:w="5000" w:type="pct"/>
            <w:vAlign w:val="center"/>
            <w:gridSpan w:val="2"/>
          </w:tcPr>
          <w:p>
            <w:pPr>
              <w:jc w:val="both"/>
            </w:pPr>
            <w:r>
              <w:rPr/>
              <w:t xml:space="preserve">Disponer total o parcialmente de los fondos depositados en cuenta de la Compañía, mediante talones, transferencias o cualquier otra fórmula normal en el sistema bancario.</w:t>
            </w:r>
          </w:p>
        </w:tc>
      </w:tr>
    </w:tbl>
    <w:p>
      <w:pPr>
        <w:pStyle w:val="Heading5"/>
      </w:pPr>
      <w:r>
        <w:rPr/>
        <w:t xml:space="preserve"> </w:t>
      </w:r>
    </w:p>
    <w:tbl>
      <w:tblGrid>
        <w:gridCol w:w="246100" w:type="dxa"/>
      </w:tblGrid>
      <w:tblPr>
        <w:tblW w:w="5000" w:type="pct"/>
        <w:tblLayout w:type="autofit"/>
        <w:bidiVisual w:val="0"/>
      </w:tblPr>
      <w:tr>
        <w:trPr>
          <w:tblHeader w:val="1"/>
        </w:trPr>
        <w:tc>
          <w:tcPr>
            <w:tcW w:w="246100" w:type="pct"/>
            <w:vAlign w:val="center"/>
            <w:gridSpan w:val="2"/>
          </w:tcPr>
          <w:p>
            <w:pPr>
              <w:jc w:val="center"/>
            </w:pPr>
            <w:r>
              <w:rPr/>
              <w:t xml:space="preserve">Funciones delegadas del consejero delegado don Carlos Matías Perdomo Dávila</w:t>
            </w:r>
          </w:p>
          <w:p>
            <w:pPr>
              <w:jc w:val="center"/>
            </w:pPr>
            <w:r>
              <w:rPr/>
              <w:t xml:space="preserve">De forma solidaria con la otra consejera delegada y presidenta del Consejo de Administración, doña Idaira Chaxiraxi Mateos Moreno, las siguientes facultades:</w:t>
            </w:r>
          </w:p>
        </w:tc>
      </w:tr>
      <w:tr>
        <w:trPr>
          <w:tblHeader w:val="1"/>
        </w:trPr>
        <w:tc>
          <w:tcPr>
            <w:tcW w:w="5000" w:type="pct"/>
            <w:vAlign w:val="center"/>
            <w:gridSpan w:val="2"/>
          </w:tcPr>
          <w:p>
            <w:pPr>
              <w:jc w:val="both"/>
            </w:pPr>
            <w:r>
              <w:rPr/>
              <w:t xml:space="preserve">Comprar en general toda clase de bienes muebles, eminentemente de carácter mobiliario y de necesidad para el normal funcionamiento de los servicios de la compañía.</w:t>
            </w:r>
          </w:p>
        </w:tc>
      </w:tr>
      <w:tr>
        <w:trPr>
          <w:tblHeader w:val="1"/>
        </w:trPr>
        <w:tc>
          <w:tcPr>
            <w:tcW w:w="5000" w:type="pct"/>
            <w:vAlign w:val="center"/>
            <w:gridSpan w:val="2"/>
          </w:tcPr>
          <w:p>
            <w:pPr>
              <w:jc w:val="both"/>
            </w:pPr>
            <w:r>
              <w:rPr/>
              <w:t xml:space="preserve">Verificar toda clase de declaraciones, reclamaciones y arbitrios que afecten a la Sociedad: interponer recursos y realizar toda clase de reclamaciones e ingresos indebidos.</w:t>
            </w:r>
          </w:p>
        </w:tc>
      </w:tr>
      <w:tr>
        <w:trPr>
          <w:tblHeader w:val="1"/>
        </w:trPr>
        <w:tc>
          <w:tcPr>
            <w:tcW w:w="5000" w:type="pct"/>
            <w:vAlign w:val="center"/>
            <w:gridSpan w:val="2"/>
          </w:tcPr>
          <w:p>
            <w:pPr>
              <w:jc w:val="both"/>
            </w:pPr>
            <w:r>
              <w:rPr/>
              <w:t xml:space="preserve">Asistir a reuniones de comunidades en las que estén ubicadas las delegaciones de la compañía.</w:t>
            </w:r>
          </w:p>
        </w:tc>
      </w:tr>
      <w:tr>
        <w:trPr>
          <w:tblHeader w:val="1"/>
        </w:trPr>
        <w:tc>
          <w:tcPr>
            <w:tcW w:w="5000" w:type="pct"/>
            <w:vAlign w:val="center"/>
            <w:gridSpan w:val="2"/>
          </w:tcPr>
          <w:p>
            <w:pPr>
              <w:jc w:val="both"/>
            </w:pPr>
            <w:r>
              <w:rPr/>
              <w:t xml:space="preserve">Organizar, dirigir y vigilar el régimen interno de la Sociedad y de su personal.</w:t>
            </w:r>
          </w:p>
        </w:tc>
      </w:tr>
      <w:tr>
        <w:trPr>
          <w:tblHeader w:val="1"/>
        </w:trPr>
        <w:tc>
          <w:tcPr>
            <w:tcW w:w="5000" w:type="pct"/>
            <w:vAlign w:val="center"/>
            <w:gridSpan w:val="2"/>
          </w:tcPr>
          <w:p>
            <w:pPr>
              <w:jc w:val="both"/>
            </w:pPr>
            <w:r>
              <w:rPr/>
              <w:t xml:space="preserve">Invertir en concursos, subastas y procedimientos análogos, presentar y modificar proposiciones, aceptar adjudicaciones, formalizar contratos, constituir y retirar fianzas provisionales y definitivas.</w:t>
            </w:r>
          </w:p>
        </w:tc>
      </w:tr>
      <w:tr>
        <w:trPr>
          <w:tblHeader w:val="1"/>
        </w:trPr>
        <w:tc>
          <w:tcPr>
            <w:tcW w:w="5000" w:type="pct"/>
            <w:vAlign w:val="center"/>
            <w:gridSpan w:val="2"/>
          </w:tcPr>
          <w:p>
            <w:pPr>
              <w:jc w:val="both"/>
            </w:pPr>
            <w:r>
              <w:rPr/>
              <w:t xml:space="preserve">Llevar la correspondencia y contabilidad de la Sociedad. Enviar y recibir certificados, giros, telegramas y actuar plenamente en relación con Correos, Telégrafos, Teléfonos u otros medios de comunicación.</w:t>
            </w:r>
          </w:p>
        </w:tc>
      </w:tr>
      <w:tr>
        <w:trPr>
          <w:tblHeader w:val="1"/>
        </w:trPr>
        <w:tc>
          <w:tcPr>
            <w:tcW w:w="5000" w:type="pct"/>
            <w:vAlign w:val="center"/>
            <w:gridSpan w:val="2"/>
          </w:tcPr>
          <w:p>
            <w:pPr>
              <w:jc w:val="both"/>
            </w:pPr>
            <w:r>
              <w:rPr/>
              <w:t xml:space="preserve">Determinar la colocación o destino de los fondos o bienes disponibles y participar   en empresas, bien en su constitución o posteriormente,</w:t>
            </w:r>
          </w:p>
        </w:tc>
      </w:tr>
      <w:tr>
        <w:trPr>
          <w:tblHeader w:val="1"/>
        </w:trPr>
        <w:tc>
          <w:tcPr>
            <w:tcW w:w="5000" w:type="pct"/>
            <w:vAlign w:val="center"/>
            <w:gridSpan w:val="2"/>
          </w:tcPr>
          <w:p>
            <w:pPr>
              <w:jc w:val="both"/>
            </w:pPr>
            <w:r>
              <w:rPr/>
              <w:t xml:space="preserve">Abrir, continuar y cancelar cuantas corrientes, de ahorro o entidades de crédito, incluso en el banco de España u otros entes públicos.</w:t>
            </w:r>
          </w:p>
        </w:tc>
      </w:tr>
      <w:tr>
        <w:trPr>
          <w:tblHeader w:val="1"/>
        </w:trPr>
        <w:tc>
          <w:tcPr>
            <w:tcW w:w="5000" w:type="pct"/>
            <w:vAlign w:val="center"/>
            <w:gridSpan w:val="2"/>
          </w:tcPr>
          <w:p>
            <w:pPr>
              <w:jc w:val="both"/>
            </w:pPr>
            <w:r>
              <w:rPr/>
              <w:t xml:space="preserve">Transigir y someterse a arbitrajes privados.</w:t>
            </w:r>
          </w:p>
        </w:tc>
      </w:tr>
      <w:tr>
        <w:trPr>
          <w:tblHeader w:val="1"/>
        </w:trPr>
        <w:tc>
          <w:tcPr>
            <w:tcW w:w="5000" w:type="pct"/>
            <w:vAlign w:val="center"/>
            <w:gridSpan w:val="2"/>
          </w:tcPr>
          <w:p>
            <w:pPr>
              <w:jc w:val="both"/>
            </w:pPr>
            <w:r>
              <w:rPr/>
              <w:t xml:space="preserve">Asistir a Juntas y reuniones de Sociedades, Comunidades o cualquiera otra y ejercitar el derecho a voto.</w:t>
            </w:r>
          </w:p>
        </w:tc>
      </w:tr>
      <w:tr>
        <w:trPr>
          <w:tblHeader w:val="1"/>
        </w:trPr>
        <w:tc>
          <w:tcPr>
            <w:tcW w:w="5000" w:type="pct"/>
            <w:vAlign w:val="center"/>
            <w:gridSpan w:val="2"/>
          </w:tcPr>
          <w:p>
            <w:pPr>
              <w:jc w:val="both"/>
            </w:pPr>
            <w:r>
              <w:rPr/>
              <w:t xml:space="preserve">Ostentar la plena representación de la Sociedad, para toda clase de actos judiciales y extrajudiciales. Comparecer y actuar en cualquier procedimiento, judicial o administrativo con la máxima amplitud, por todos sus trámites, incidencias y recursos, incluso ante el Tribunal Supremo. Hacer y recibir, requerimientos y notificaciones.</w:t>
            </w:r>
          </w:p>
        </w:tc>
      </w:tr>
      <w:tr>
        <w:trPr>
          <w:tblHeader w:val="1"/>
        </w:trPr>
        <w:tc>
          <w:tcPr>
            <w:tcW w:w="5000" w:type="pct"/>
            <w:vAlign w:val="center"/>
            <w:gridSpan w:val="2"/>
          </w:tcPr>
          <w:p>
            <w:pPr>
              <w:jc w:val="both"/>
            </w:pPr>
            <w:r>
              <w:rPr/>
              <w:t xml:space="preserve">Conceder los poderes generales y especiales que tenga por conveniente, en uso de las facultades anteriormente indicadas y revocar los ya concedidos, en especial, queda facultado para otorgar así mismo, poderes generales para pleitos a favor de abogados y procuradores y poderes a favor de cualquier persona en el procedimiento de quiebra o suspensión de pagos, que en cada caso determine.</w:t>
            </w:r>
          </w:p>
        </w:tc>
      </w:tr>
    </w:tbl>
    <w:p>
      <w:pPr/>
      <w:r>
        <w:rPr/>
        <w:t xml:space="preserve">Que el letrado  designado por el Consejo de Administración para el asesoramiento jurídico de la entidad es el actual consejero delegado don Carlos Matías Perdomo Dávila.</w:t>
      </w:r>
    </w:p>
    <w:p>
      <w:pPr>
        <w:pStyle w:val="Heading5"/>
      </w:pPr>
      <w:r>
        <w:rPr/>
        <w:t xml:space="preserve"> </w:t>
      </w:r>
    </w:p>
    <w:tbl>
      <w:tblGrid>
        <w:gridCol w:w="246100" w:type="dxa"/>
      </w:tblGrid>
      <w:tblPr>
        <w:tblW w:w="5000" w:type="pct"/>
        <w:tblLayout w:type="autofit"/>
        <w:bidiVisual w:val="0"/>
      </w:tblPr>
      <w:tr>
        <w:trPr>
          <w:tblHeader w:val="1"/>
        </w:trPr>
        <w:tc>
          <w:tcPr>
            <w:tcW w:w="246100" w:type="pct"/>
            <w:vAlign w:val="center"/>
            <w:gridSpan w:val="2"/>
          </w:tcPr>
          <w:p>
            <w:pPr>
              <w:jc w:val="center"/>
            </w:pPr>
            <w:r>
              <w:rPr/>
              <w:t xml:space="preserve">Actividades de la Sociedad Mercantil</w:t>
            </w:r>
          </w:p>
        </w:tc>
      </w:tr>
      <w:tr>
        <w:trPr>
          <w:tblHeader w:val="1"/>
        </w:trPr>
        <w:tc>
          <w:tcPr>
            <w:tcW w:w="5000" w:type="pct"/>
            <w:vAlign w:val="center"/>
            <w:gridSpan w:val="2"/>
          </w:tcPr>
          <w:p>
            <w:pPr>
              <w:jc w:val="both"/>
            </w:pPr>
            <w:r>
              <w:rPr/>
              <w:t xml:space="preserve">La gestión del acceso a la vivienda de los ciudadanos del municipio.</w:t>
            </w:r>
          </w:p>
        </w:tc>
      </w:tr>
      <w:tr>
        <w:trPr>
          <w:tblHeader w:val="1"/>
        </w:trPr>
        <w:tc>
          <w:tcPr>
            <w:tcW w:w="5000" w:type="pct"/>
            <w:vAlign w:val="center"/>
            <w:gridSpan w:val="2"/>
          </w:tcPr>
          <w:p>
            <w:pPr>
              <w:jc w:val="both"/>
            </w:pPr>
            <w:r>
              <w:rPr/>
              <w:t xml:space="preserve">La ejecución de promociones de viviendas adscritas al Convenio de Colaboración entre el Excmo. Ayuntamiento de Gáldar y GALOBRA S.A.U., para la promoción de Viviendas Protegidas.</w:t>
            </w:r>
          </w:p>
        </w:tc>
      </w:tr>
      <w:tr>
        <w:trPr>
          <w:tblHeader w:val="1"/>
        </w:trPr>
        <w:tc>
          <w:tcPr>
            <w:tcW w:w="5000" w:type="pct"/>
            <w:vAlign w:val="center"/>
            <w:gridSpan w:val="2"/>
          </w:tcPr>
          <w:p>
            <w:pPr>
              <w:jc w:val="both"/>
            </w:pPr>
            <w:r>
              <w:rPr/>
              <w:t xml:space="preserve">Desarrollo de suelo en Planes Parciales, mediante los correspondientes Proyectos de Urbanización.</w:t>
            </w:r>
          </w:p>
        </w:tc>
      </w:tr>
      <w:tr>
        <w:trPr>
          <w:tblHeader w:val="1"/>
        </w:trPr>
        <w:tc>
          <w:tcPr>
            <w:tcW w:w="5000" w:type="pct"/>
            <w:vAlign w:val="center"/>
            <w:gridSpan w:val="2"/>
          </w:tcPr>
          <w:p>
            <w:pPr>
              <w:jc w:val="both"/>
            </w:pPr>
            <w:r>
              <w:rPr/>
              <w:t xml:space="preserve">La actividad de arrendamiento, basada en el alquiler de seis viviendas adquiridas en el barrio de San Isidro, las cuales fueron destinadas en su momento como Reserva para Inversiones en Canarias (RIC), aunque ya no se encuentran afectas por la misma.</w:t>
            </w:r>
          </w:p>
        </w:tc>
      </w:tr>
      <w:tr>
        <w:trPr>
          <w:tblHeader w:val="1"/>
        </w:trPr>
        <w:tc>
          <w:tcPr>
            <w:tcW w:w="5000" w:type="pct"/>
            <w:vAlign w:val="center"/>
            <w:gridSpan w:val="2"/>
          </w:tcPr>
          <w:p>
            <w:pPr>
              <w:jc w:val="both"/>
            </w:pPr>
            <w:r>
              <w:rPr/>
              <w:t xml:space="preserve">Encomiendas de gestión del Excmo. Ayuntamiento de Gáldar.</w:t>
            </w:r>
          </w:p>
        </w:tc>
      </w:tr>
    </w:tbl>
    <w:p>
      <w:pPr>
        <w:pStyle w:val="Heading5"/>
      </w:pPr>
      <w:r>
        <w:rPr/>
        <w:t xml:space="preserve"> </w:t>
      </w:r>
    </w:p>
    <w:p>
      <w:pPr>
        <w:jc w:val="center"/>
      </w:pPr>
      <w:r>
        <w:rPr>
          <w:b w:val="1"/>
          <w:bCs w:val="1"/>
        </w:rPr>
        <w:t xml:space="preserve">Retribuciones</w:t>
      </w:r>
    </w:p>
    <w:p>
      <w:pPr>
        <w:jc w:val="both"/>
      </w:pPr>
      <w:r>
        <w:rPr/>
        <w:t xml:space="preserve">Al objeto de dar cumplimiento a los Indicadores de la Ley Canaria de Transparencia (Ley 12/2014, de 26 de diciembre) en su apartado 5. Retribuciones/5.1 Miembros electos, titulares de los órganos de gobierno, altos cargos o asimilados y titulares de los órganos superiores y directivos de la entidad GALOBRA SAU, pone en conocimiento de la ciudadanía de Gáldar y del público en general que en las subcategorías</w:t>
      </w:r>
    </w:p>
    <w:tbl>
      <w:tblGrid>
        <w:gridCol w:w="650" w:type="dxa"/>
        <w:gridCol w:w="170950" w:type="dxa"/>
      </w:tblGrid>
      <w:tblPr>
        <w:tblW w:w="650" w:type="pct"/>
        <w:tblLayout w:type="autofit"/>
        <w:bidiVisual w:val="0"/>
      </w:tblPr>
      <w:tr>
        <w:trPr>
          <w:tblHeader w:val="1"/>
        </w:trPr>
        <w:tc>
          <w:tcPr>
            <w:tcW w:w="350" w:type="pct"/>
            <w:vAlign w:val="center"/>
            <w:gridSpan w:val="3"/>
          </w:tcPr>
          <w:p>
            <w:pPr>
              <w:jc w:val="center"/>
            </w:pPr>
            <w:r>
              <w:rPr/>
              <w:t xml:space="preserve">1048 Retribución percibida anualmente, articulada en función de la clase o categoría del órgano, y en caso de dedicación parcial, especificando la dedicación mínima exigida</w:t>
            </w:r>
          </w:p>
        </w:tc>
      </w:tr>
      <w:tr>
        <w:trPr/>
        <w:tc>
          <w:tcPr>
            <w:tcW w:w="650" w:type="pct"/>
            <w:vAlign w:val="center"/>
            <w:gridSpan w:val="2"/>
          </w:tcPr>
          <w:p>
            <w:pPr>
              <w:jc w:val="center"/>
            </w:pPr>
            <w:r>
              <w:rPr/>
              <w:t xml:space="preserve">2025</w:t>
            </w:r>
          </w:p>
        </w:tc>
        <w:tc>
          <w:tcPr>
            <w:tcW w:w="170950" w:type="pct"/>
            <w:vAlign w:val="center"/>
          </w:tcPr>
          <w:p>
            <w:pPr>
              <w:jc w:val="center"/>
            </w:pPr>
          </w:p>
        </w:tc>
      </w:tr>
      <w:tr>
        <w:trPr/>
        <w:tc>
          <w:tcPr>
            <w:tcW w:w="33250" w:type="pct"/>
            <w:vAlign w:val="center"/>
            <w:gridSpan w:val="2"/>
          </w:tcPr>
          <w:p>
            <w:pPr>
              <w:jc w:val="center"/>
            </w:pPr>
            <w:r>
              <w:rPr/>
              <w:t xml:space="preserve"> 2º Semestre 2023 - 2024</w:t>
            </w:r>
          </w:p>
        </w:tc>
        <w:tc>
          <w:tcPr>
            <w:tcW w:w="170950" w:type="pct"/>
            <w:vAlign w:val="center"/>
          </w:tcPr>
          <w:p>
            <w:pPr>
              <w:jc w:val="center"/>
            </w:pPr>
            <w:r>
              <w:rPr/>
              <w:t xml:space="preserve">Retribución del Consejero Delegado Don Carlos Matías Perdomo Dávila en la cantidad anual de 45.782, 05 € anual</w:t>
            </w:r>
          </w:p>
        </w:tc>
      </w:tr>
    </w:tbl>
    <w:tbl>
      <w:tblGrid>
        <w:gridCol w:w="650" w:type="dxa"/>
        <w:gridCol w:w="170950" w:type="dxa"/>
      </w:tblGrid>
      <w:tblPr>
        <w:tblW w:w="650" w:type="pct"/>
        <w:tblLayout w:type="autofit"/>
        <w:bidiVisual w:val="0"/>
      </w:tblPr>
      <w:tr>
        <w:trPr>
          <w:tblHeader w:val="1"/>
        </w:trPr>
        <w:tc>
          <w:tcPr>
            <w:tcW w:w="350" w:type="pct"/>
            <w:vAlign w:val="center"/>
            <w:gridSpan w:val="3"/>
          </w:tcPr>
          <w:p>
            <w:pPr>
              <w:jc w:val="center"/>
            </w:pPr>
            <w:r>
              <w:rPr/>
              <w:t xml:space="preserve">Gastos de representación asignados </w:t>
            </w:r>
          </w:p>
        </w:tc>
      </w:tr>
      <w:tr>
        <w:trPr/>
        <w:tc>
          <w:tcPr>
            <w:tcW w:w="650" w:type="pct"/>
            <w:vAlign w:val="center"/>
            <w:gridSpan w:val="2"/>
          </w:tcPr>
          <w:p>
            <w:pPr>
              <w:jc w:val="center"/>
            </w:pPr>
            <w:r>
              <w:rPr/>
              <w:t xml:space="preserve">2025</w:t>
            </w:r>
          </w:p>
        </w:tc>
        <w:tc>
          <w:tcPr>
            <w:tcW w:w="170950" w:type="pct"/>
            <w:vAlign w:val="center"/>
          </w:tcPr>
          <w:p>
            <w:pPr>
              <w:jc w:val="center"/>
            </w:pPr>
          </w:p>
        </w:tc>
      </w:tr>
      <w:tr>
        <w:trPr/>
        <w:tc>
          <w:tcPr>
            <w:tcW w:w="33250" w:type="pct"/>
            <w:vAlign w:val="center"/>
            <w:gridSpan w:val="2"/>
          </w:tcPr>
          <w:p>
            <w:pPr>
              <w:jc w:val="center"/>
            </w:pPr>
            <w:r>
              <w:rPr/>
              <w:t xml:space="preserve"> 2º Semestre 2023 - 2024 </w:t>
            </w:r>
          </w:p>
        </w:tc>
        <w:tc>
          <w:tcPr>
            <w:tcW w:w="170950" w:type="pct"/>
            <w:vAlign w:val="center"/>
          </w:tcPr>
          <w:p>
            <w:pPr>
              <w:jc w:val="center"/>
            </w:pPr>
            <w:r>
              <w:rPr/>
              <w:t xml:space="preserve">No existe actividad o información acerca de esta obligación</w:t>
            </w:r>
          </w:p>
        </w:tc>
      </w:tr>
    </w:tbl>
    <w:tbl>
      <w:tblGrid>
        <w:gridCol w:w="650" w:type="dxa"/>
        <w:gridCol w:w="170950" w:type="dxa"/>
      </w:tblGrid>
      <w:tblPr>
        <w:tblW w:w="650" w:type="pct"/>
        <w:tblLayout w:type="autofit"/>
        <w:bidiVisual w:val="0"/>
      </w:tblPr>
      <w:tr>
        <w:trPr>
          <w:tblHeader w:val="1"/>
        </w:trPr>
        <w:tc>
          <w:tcPr>
            <w:tcW w:w="350" w:type="pct"/>
            <w:vAlign w:val="center"/>
            <w:gridSpan w:val="3"/>
          </w:tcPr>
          <w:p>
            <w:pPr>
              <w:jc w:val="center"/>
            </w:pPr>
            <w:r>
              <w:rPr/>
              <w:t xml:space="preserve">Indemnizaciones percibidas con ocasión del abandono del cargo </w:t>
            </w:r>
          </w:p>
        </w:tc>
      </w:tr>
      <w:tr>
        <w:trPr/>
        <w:tc>
          <w:tcPr>
            <w:tcW w:w="650" w:type="pct"/>
            <w:vAlign w:val="center"/>
            <w:gridSpan w:val="2"/>
          </w:tcPr>
          <w:p>
            <w:pPr>
              <w:jc w:val="center"/>
            </w:pPr>
            <w:r>
              <w:rPr/>
              <w:t xml:space="preserve">2025</w:t>
            </w:r>
          </w:p>
        </w:tc>
        <w:tc>
          <w:tcPr>
            <w:tcW w:w="170950" w:type="pct"/>
            <w:vAlign w:val="center"/>
          </w:tcPr>
          <w:p>
            <w:pPr>
              <w:jc w:val="center"/>
            </w:pPr>
          </w:p>
        </w:tc>
      </w:tr>
      <w:tr>
        <w:trPr/>
        <w:tc>
          <w:tcPr>
            <w:tcW w:w="33250" w:type="pct"/>
            <w:vAlign w:val="center"/>
            <w:gridSpan w:val="2"/>
          </w:tcPr>
          <w:p>
            <w:pPr>
              <w:jc w:val="center"/>
            </w:pPr>
            <w:r>
              <w:rPr/>
              <w:t xml:space="preserve"> 2º Semestre 2023 - 2024</w:t>
            </w:r>
          </w:p>
        </w:tc>
        <w:tc>
          <w:tcPr>
            <w:tcW w:w="170950" w:type="pct"/>
            <w:vAlign w:val="center"/>
          </w:tcPr>
          <w:p>
            <w:pPr>
              <w:jc w:val="center"/>
            </w:pPr>
          </w:p>
        </w:tc>
      </w:tr>
    </w:tbl>
    <w:tbl>
      <w:tblGrid>
        <w:gridCol w:w="650" w:type="dxa"/>
        <w:gridCol w:w="170950" w:type="dxa"/>
      </w:tblGrid>
      <w:tblPr>
        <w:tblW w:w="650" w:type="pct"/>
        <w:tblLayout w:type="autofit"/>
        <w:bidiVisual w:val="0"/>
      </w:tblPr>
      <w:tr>
        <w:trPr>
          <w:tblHeader w:val="1"/>
        </w:trPr>
        <w:tc>
          <w:tcPr>
            <w:tcW w:w="350" w:type="pct"/>
            <w:vAlign w:val="center"/>
            <w:gridSpan w:val="3"/>
          </w:tcPr>
          <w:p>
            <w:pPr>
              <w:jc w:val="center"/>
            </w:pPr>
            <w:r>
              <w:rPr/>
              <w:t xml:space="preserve">Retribuciones anuales e indemnizaciones percibidas durante el año anterior </w:t>
            </w:r>
          </w:p>
        </w:tc>
      </w:tr>
      <w:tr>
        <w:trPr/>
        <w:tc>
          <w:tcPr>
            <w:tcW w:w="650" w:type="pct"/>
            <w:vAlign w:val="center"/>
            <w:gridSpan w:val="2"/>
          </w:tcPr>
          <w:p>
            <w:pPr>
              <w:jc w:val="center"/>
            </w:pPr>
            <w:r>
              <w:rPr/>
              <w:t xml:space="preserve">2025</w:t>
            </w:r>
          </w:p>
        </w:tc>
        <w:tc>
          <w:tcPr>
            <w:tcW w:w="170950" w:type="pct"/>
            <w:vAlign w:val="center"/>
          </w:tcPr>
          <w:p>
            <w:pPr>
              <w:jc w:val="center"/>
            </w:pPr>
          </w:p>
        </w:tc>
      </w:tr>
      <w:tr>
        <w:trPr/>
        <w:tc>
          <w:tcPr>
            <w:tcW w:w="33250" w:type="pct"/>
            <w:vAlign w:val="center"/>
            <w:gridSpan w:val="2"/>
          </w:tcPr>
          <w:p>
            <w:pPr>
              <w:jc w:val="center"/>
            </w:pPr>
            <w:r>
              <w:rPr/>
              <w:t xml:space="preserve"> 2º Semestre 2023 - 2024 </w:t>
            </w:r>
          </w:p>
        </w:tc>
        <w:tc>
          <w:tcPr>
            <w:tcW w:w="170950" w:type="pct"/>
            <w:vAlign w:val="center"/>
          </w:tcPr>
          <w:p>
            <w:pPr>
              <w:jc w:val="center"/>
            </w:pPr>
            <w:r>
              <w:rPr/>
              <w:t xml:space="preserve">No existe actividad o información acerca de esta obligación</w:t>
            </w:r>
          </w:p>
        </w:tc>
      </w:tr>
    </w:tbl>
    <w:tbl>
      <w:tblGrid>
        <w:gridCol w:w="650" w:type="dxa"/>
        <w:gridCol w:w="170950" w:type="dxa"/>
      </w:tblGrid>
      <w:tblPr>
        <w:tblW w:w="650" w:type="pct"/>
        <w:tblLayout w:type="autofit"/>
        <w:bidiVisual w:val="0"/>
      </w:tblPr>
      <w:tr>
        <w:trPr>
          <w:tblHeader w:val="1"/>
        </w:trPr>
        <w:tc>
          <w:tcPr>
            <w:tcW w:w="350" w:type="pct"/>
            <w:vAlign w:val="center"/>
            <w:gridSpan w:val="3"/>
          </w:tcPr>
          <w:p>
            <w:pPr>
              <w:jc w:val="center"/>
            </w:pPr>
            <w:r>
              <w:rPr/>
              <w:t xml:space="preserve">Viajes, manutención, alojamiento y asistencia a órganos colegiados o sociales</w:t>
            </w:r>
          </w:p>
        </w:tc>
      </w:tr>
      <w:tr>
        <w:trPr/>
        <w:tc>
          <w:tcPr>
            <w:tcW w:w="650" w:type="pct"/>
            <w:vAlign w:val="center"/>
            <w:gridSpan w:val="2"/>
          </w:tcPr>
          <w:p>
            <w:pPr>
              <w:jc w:val="center"/>
            </w:pPr>
            <w:r>
              <w:rPr/>
              <w:t xml:space="preserve">2025</w:t>
            </w:r>
          </w:p>
        </w:tc>
        <w:tc>
          <w:tcPr>
            <w:tcW w:w="170950" w:type="pct"/>
            <w:vAlign w:val="center"/>
          </w:tcPr>
          <w:p>
            <w:pPr>
              <w:jc w:val="center"/>
            </w:pPr>
          </w:p>
        </w:tc>
      </w:tr>
      <w:tr>
        <w:trPr/>
        <w:tc>
          <w:tcPr>
            <w:tcW w:w="33250" w:type="pct"/>
            <w:vAlign w:val="center"/>
            <w:gridSpan w:val="2"/>
          </w:tcPr>
          <w:p>
            <w:pPr>
              <w:jc w:val="center"/>
            </w:pPr>
            <w:r>
              <w:rPr/>
              <w:t xml:space="preserve"> 2º Semestre 2023 - 2024 </w:t>
            </w:r>
          </w:p>
        </w:tc>
        <w:tc>
          <w:tcPr>
            <w:tcW w:w="170950" w:type="pct"/>
            <w:vAlign w:val="center"/>
          </w:tcPr>
          <w:p>
            <w:pPr>
              <w:jc w:val="center"/>
            </w:pPr>
          </w:p>
        </w:tc>
      </w:tr>
    </w:tbl>
    <w:p>
      <w:pPr>
        <w:jc w:val="center"/>
      </w:pPr>
      <w:r>
        <w:rPr>
          <w:b w:val="1"/>
          <w:bCs w:val="1"/>
        </w:rPr>
        <w:t xml:space="preserve">No existe actividad, ya que los altos cargos no cobran por su representación, pudiendo utilizar los ciudadanos los medios legalmente establecidos para ejercer su derecho de acceso a la información pública.</w:t>
      </w:r>
    </w:p>
    <w:p>
      <w:pPr/>
      <w:r>
        <w:rPr/>
        <w:t xml:space="preserve"> </w:t>
      </w:r>
    </w:p>
    <w:tbl>
      <w:tblGrid>
        <w:gridCol w:w="17800" w:type="dxa"/>
        <w:gridCol w:w="86900" w:type="dxa"/>
        <w:gridCol w:w="365200" w:type="dxa"/>
      </w:tblGrid>
      <w:tblPr>
        <w:tblW w:w="5000" w:type="pct"/>
        <w:tblLayout w:type="autofit"/>
        <w:bidiVisual w:val="0"/>
      </w:tblPr>
      <w:tr>
        <w:trPr>
          <w:tblHeader w:val="1"/>
        </w:trPr>
        <w:tc>
          <w:tcPr>
            <w:tcW w:w="17800" w:type="pct"/>
            <w:gridSpan w:val="2"/>
          </w:tcPr>
          <w:p>
            <w:pPr/>
            <w:r>
              <w:rPr/>
              <w:t xml:space="preserve">Fecha</w:t>
            </w:r>
          </w:p>
        </w:tc>
        <w:tc>
          <w:tcPr>
            <w:tcW w:w="86900" w:type="pct"/>
          </w:tcPr>
          <w:p>
            <w:pPr/>
            <w:r>
              <w:rPr/>
              <w:t xml:space="preserve">Denominación</w:t>
            </w:r>
          </w:p>
        </w:tc>
        <w:tc>
          <w:tcPr>
            <w:tcW w:w="365200" w:type="pct"/>
          </w:tcPr>
          <w:p>
            <w:pPr/>
            <w:r>
              <w:rPr/>
              <w:t xml:space="preserve">Documento</w:t>
            </w:r>
          </w:p>
        </w:tc>
      </w:tr>
      <w:tr>
        <w:trPr/>
        <w:tc>
          <w:tcPr>
            <w:tcW w:w="5000" w:type="pct"/>
            <w:vAlign w:val="center"/>
            <w:gridSpan w:val="2"/>
          </w:tcPr>
          <w:p>
            <w:pPr>
              <w:jc w:val="center"/>
            </w:pPr>
            <w:r>
              <w:rPr/>
              <w:t xml:space="preserve">31/12/2025</w:t>
            </w:r>
          </w:p>
        </w:tc>
        <w:tc>
          <w:tcPr>
            <w:tcW w:w="86900" w:type="pct"/>
            <w:vAlign w:val="center"/>
          </w:tcPr>
          <w:p>
            <w:pPr>
              <w:jc w:val="center"/>
            </w:pPr>
            <w:r>
              <w:rPr/>
              <w:t xml:space="preserve">Nombramiento o régimen de contrato laboral</w:t>
            </w:r>
          </w:p>
        </w:tc>
        <w:tc>
          <w:tcPr>
            <w:tcW w:w="365200" w:type="pct"/>
          </w:tcPr>
          <w:p>
            <w:pPr/>
          </w:p>
        </w:tc>
      </w:tr>
      <w:tr>
        <w:trPr/>
        <w:tc>
          <w:tcPr>
            <w:tcW w:w="5000" w:type="pct"/>
            <w:vAlign w:val="center"/>
            <w:gridSpan w:val="2"/>
          </w:tcPr>
          <w:p>
            <w:pPr>
              <w:jc w:val="center"/>
            </w:pPr>
            <w:r>
              <w:rPr/>
              <w:t xml:space="preserve">31/12/2025</w:t>
            </w:r>
          </w:p>
        </w:tc>
        <w:tc>
          <w:tcPr>
            <w:tcW w:w="86900" w:type="pct"/>
            <w:vAlign w:val="center"/>
          </w:tcPr>
          <w:p>
            <w:pPr>
              <w:jc w:val="center"/>
            </w:pPr>
            <w:r>
              <w:rPr/>
              <w:t xml:space="preserve">Aclaración sobre inexistencia de documentación</w:t>
            </w:r>
          </w:p>
        </w:tc>
        <w:tc>
          <w:tcPr>
            <w:tcW w:w="365200" w:type="pct"/>
          </w:tcPr>
          <w:p>
            <w:pPr/>
          </w:p>
        </w:tc>
      </w:tr>
      <w:tr>
        <w:trPr/>
        <w:tc>
          <w:tcPr>
            <w:tcW w:w="17800" w:type="pct"/>
            <w:vAlign w:val="center"/>
            <w:gridSpan w:val="2"/>
          </w:tcPr>
          <w:p>
            <w:pPr>
              <w:jc w:val="center"/>
            </w:pPr>
            <w:r>
              <w:rPr/>
              <w:t xml:space="preserve">31/12/2025</w:t>
            </w:r>
          </w:p>
        </w:tc>
        <w:tc>
          <w:tcPr>
            <w:tcW w:w="86900" w:type="pct"/>
            <w:vAlign w:val="center"/>
          </w:tcPr>
          <w:p>
            <w:pPr>
              <w:jc w:val="center"/>
            </w:pPr>
            <w:r>
              <w:rPr/>
              <w:t xml:space="preserve">Organizativa. Órganos de Administración de 2025-2027</w:t>
            </w:r>
          </w:p>
        </w:tc>
        <w:tc>
          <w:tcPr>
            <w:tcW w:w="365200" w:type="pct"/>
          </w:tcPr>
          <w:p>
            <w:pPr/>
          </w:p>
        </w:tc>
      </w:tr>
      <w:tr>
        <w:trPr/>
        <w:tc>
          <w:tcPr>
            <w:tcW w:w="17800" w:type="pct"/>
            <w:vAlign w:val="center"/>
            <w:gridSpan w:val="2"/>
          </w:tcPr>
          <w:p>
            <w:pPr>
              <w:jc w:val="center"/>
            </w:pPr>
            <w:r>
              <w:rPr/>
              <w:t xml:space="preserve">31/12/2024</w:t>
            </w:r>
          </w:p>
        </w:tc>
        <w:tc>
          <w:tcPr>
            <w:tcW w:w="86900" w:type="pct"/>
            <w:vAlign w:val="center"/>
          </w:tcPr>
          <w:p>
            <w:pPr>
              <w:jc w:val="center"/>
            </w:pPr>
            <w:r>
              <w:rPr/>
              <w:t xml:space="preserve">Organigrama Consejo Administracion Galobra y facultades delegadas</w:t>
            </w:r>
          </w:p>
        </w:tc>
        <w:tc>
          <w:tcPr>
            <w:tcW w:w="365200" w:type="pct"/>
          </w:tcPr>
          <w:p>
            <w:pPr/>
          </w:p>
        </w:tc>
      </w:tr>
      <w:tr>
        <w:trPr/>
        <w:tc>
          <w:tcPr>
            <w:tcW w:w="17800" w:type="pct"/>
            <w:vAlign w:val="center"/>
            <w:gridSpan w:val="2"/>
          </w:tcPr>
          <w:p>
            <w:pPr>
              <w:jc w:val="center"/>
            </w:pPr>
            <w:r>
              <w:rPr/>
              <w:t xml:space="preserve">31/12/2024</w:t>
            </w:r>
          </w:p>
        </w:tc>
        <w:tc>
          <w:tcPr>
            <w:tcW w:w="86900" w:type="pct"/>
            <w:vAlign w:val="center"/>
          </w:tcPr>
          <w:p>
            <w:pPr>
              <w:jc w:val="center"/>
            </w:pPr>
            <w:r>
              <w:rPr/>
              <w:t xml:space="preserve">Organizativa. Órganos de Administración de 2023-2025</w:t>
            </w:r>
          </w:p>
        </w:tc>
        <w:tc>
          <w:tcPr>
            <w:tcW w:w="365200" w:type="pct"/>
          </w:tcPr>
          <w:p>
            <w:pPr/>
          </w:p>
        </w:tc>
      </w:tr>
      <w:tr>
        <w:trPr/>
        <w:tc>
          <w:tcPr>
            <w:tcW w:w="17800" w:type="pct"/>
            <w:vAlign w:val="center"/>
            <w:gridSpan w:val="2"/>
          </w:tcPr>
          <w:p>
            <w:pPr>
              <w:jc w:val="center"/>
            </w:pPr>
            <w:r>
              <w:rPr/>
              <w:t xml:space="preserve">31/12/2024</w:t>
            </w:r>
          </w:p>
        </w:tc>
        <w:tc>
          <w:tcPr>
            <w:tcW w:w="86900" w:type="pct"/>
            <w:vAlign w:val="center"/>
          </w:tcPr>
          <w:p>
            <w:pPr>
              <w:jc w:val="center"/>
            </w:pPr>
            <w:r>
              <w:rPr/>
              <w:t xml:space="preserve">Identificación, perfil, méritos académicos y trayectoria profesional</w:t>
            </w:r>
          </w:p>
        </w:tc>
        <w:tc>
          <w:tcPr>
            <w:tcW w:w="365200" w:type="pct"/>
          </w:tcPr>
          <w:p>
            <w:pPr/>
          </w:p>
        </w:tc>
      </w:tr>
      <w:tr>
        <w:trPr/>
        <w:tc>
          <w:tcPr>
            <w:tcW w:w="17800" w:type="pct"/>
            <w:vAlign w:val="center"/>
            <w:gridSpan w:val="2"/>
          </w:tcPr>
          <w:p>
            <w:pPr>
              <w:jc w:val="center"/>
            </w:pPr>
            <w:r>
              <w:rPr/>
              <w:t xml:space="preserve">30/09/2023</w:t>
            </w:r>
          </w:p>
        </w:tc>
        <w:tc>
          <w:tcPr>
            <w:tcW w:w="86900" w:type="pct"/>
            <w:vAlign w:val="center"/>
          </w:tcPr>
          <w:p>
            <w:pPr>
              <w:jc w:val="center"/>
            </w:pPr>
            <w:r>
              <w:rPr/>
              <w:t xml:space="preserve">Organizativa. Órganos de Administración</w:t>
            </w:r>
          </w:p>
        </w:tc>
        <w:tc>
          <w:tcPr>
            <w:tcW w:w="365200" w:type="pct"/>
          </w:tcPr>
          <w:p>
            <w:pPr/>
          </w:p>
        </w:tc>
      </w:tr>
    </w:tbl>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2026-08-08T06:19:11+00:00</dcterms:created>
  <dcterms:modified xsi:type="dcterms:W3CDTF">2026-08-08T06:19:11+00:00</dcterms:modified>
</cp:coreProperties>
</file>

<file path=docProps/custom.xml><?xml version="1.0" encoding="utf-8"?>
<Properties xmlns="http://schemas.openxmlformats.org/officeDocument/2006/custom-properties" xmlns:vt="http://schemas.openxmlformats.org/officeDocument/2006/docPropsVTypes"/>
</file>