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Galobra SAU</w:t>
      </w:r>
      <w:r>
        <w:rPr/>
        <w:t xml:space="preserve"> Empresa Municipal del Ayuntamiento de Gáldar </w:t>
      </w:r>
      <w:r>
        <w:rPr>
          <w:b w:val="1"/>
          <w:bCs w:val="1"/>
        </w:rPr>
        <w:t xml:space="preserve">CIF: </w:t>
      </w:r>
      <w:r>
        <w:rPr/>
        <w:t xml:space="preserve">A35294032 </w:t>
      </w:r>
      <w:r>
        <w:rPr>
          <w:b w:val="1"/>
          <w:bCs w:val="1"/>
        </w:rPr>
        <w:t xml:space="preserve">Dirección: </w:t>
      </w:r>
      <w:r>
        <w:rPr/>
        <w:t xml:space="preserve">Carretera General Km.30 S/N (Edificio de Piscinas Municipales), 35488, San Isidro </w:t>
      </w:r>
    </w:p>
    <w:p>
      <w:pPr>
        <w:pStyle w:val="Heading4"/>
      </w:pPr>
      <w:r>
        <w:rPr>
          <w:b w:val="1"/>
          <w:bCs w:val="1"/>
        </w:rPr>
        <w:t xml:space="preserve">Teléfono: </w:t>
      </w:r>
      <w:r>
        <w:rPr/>
        <w:t xml:space="preserve">928551304 </w:t>
      </w:r>
      <w:r>
        <w:rPr>
          <w:b w:val="1"/>
          <w:bCs w:val="1"/>
        </w:rPr>
        <w:t xml:space="preserve">Email: y </w:t>
      </w:r>
      <w:r>
        <w:rPr/>
        <w:t xml:space="preserve">administracion@galobra.es</w:t>
      </w:r>
    </w:p>
    <w:p>
      <w:pPr/>
      <w:r>
        <w:rPr>
          <w:b w:val="1"/>
          <w:bCs w:val="1"/>
        </w:rPr>
        <w:t xml:space="preserve">Órganos de contratación:</w:t>
      </w:r>
      <w:r>
        <w:rPr/>
        <w:t xml:space="preserve"> La Ley 9/2017, de contratos del sector público, establece que el órgano de contratación se corresponderá con el que en virtud de norma legal o reglamentaria o disposición estatutaria, tengan atribuida la facultad de celebrar contratos en su nombre. En el caso de Galobra y de conformidad con sus Estatutos, ese órgano que asumiría las funciones de órgano de contratación sería el Consejo de Administración. Si bien, las facultades del Consejo pueden delegarse en el presidente/a, como así es el caso en algunas ocasiones.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2026-11-07T16:11:08+00:00</dcterms:created>
  <dcterms:modified xsi:type="dcterms:W3CDTF">2026-11-07T16:11:08+00:00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