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22.800€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1596 €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4.332€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28.728 €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37,26%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22.800€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1596€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4.332€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28.728€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37,26%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C/FAYCAN</w:t>
            </w:r>
          </w:p>
        </w:tc>
        <w:tc>
          <w:tcPr>
            <w:tcW w:w="10650" w:type="pct"/>
          </w:tcPr>
          <w:p>
            <w:pPr>
              <w:jc w:val="center"/>
            </w:pPr>
            <w:r>
              <w:rPr/>
              <w:t xml:space="preserve">15.600€</w:t>
            </w:r>
          </w:p>
        </w:tc>
        <w:tc>
          <w:tcPr>
            <w:tcW w:w="36550" w:type="pct"/>
          </w:tcPr>
          <w:p>
            <w:pPr>
              <w:jc w:val="center"/>
            </w:pPr>
            <w:r>
              <w:rPr/>
              <w:t xml:space="preserve">1.092€</w:t>
            </w:r>
          </w:p>
        </w:tc>
        <w:tc>
          <w:tcPr>
            <w:tcW w:w="451600" w:type="pct"/>
          </w:tcPr>
          <w:p>
            <w:pPr>
              <w:jc w:val="center"/>
            </w:pPr>
            <w:r>
              <w:rPr/>
              <w:t xml:space="preserve">2.964€</w:t>
            </w:r>
          </w:p>
        </w:tc>
        <w:tc>
          <w:tcPr>
            <w:tcW w:w="3650" w:type="pct"/>
          </w:tcPr>
          <w:p>
            <w:pPr>
              <w:jc w:val="center"/>
            </w:pPr>
            <w:r>
              <w:rPr/>
              <w:t xml:space="preserve">19.656€</w:t>
            </w:r>
          </w:p>
        </w:tc>
        <w:tc>
          <w:tcPr>
            <w:tcW w:w="15100" w:type="pct"/>
          </w:tcPr>
          <w:p>
            <w:pPr>
              <w:jc w:val="center"/>
            </w:pPr>
            <w:r>
              <w:rPr/>
              <w:t xml:space="preserve">25,48%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61.200 €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4.284 €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11.628 €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77.112 €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50" w:type="pct"/>
            <w:gridSpan w:val="5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3.433,68 €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19.337,04 €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4,3%%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3.195,84 €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17.998,34 €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3,9%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6.629,52 €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37.335,38 €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9,2%</w:t>
            </w:r>
          </w:p>
        </w:tc>
      </w:tr>
    </w:tbl>
    <w:p>
      <w:pPr/>
      <w:r>
        <w:rPr/>
        <w:t xml:space="preserve"> </w:t>
      </w:r>
    </w:p>
    <w:tbl>
      <w:tblGrid>
        <w:gridCol w:w="374050" w:type="dxa"/>
        <w:gridCol w:w="220300" w:type="dxa"/>
        <w:gridCol w:w="455800" w:type="dxa"/>
        <w:gridCol w:w="225850" w:type="dxa"/>
        <w:gridCol w:w="247250" w:type="dxa"/>
        <w:gridCol w:w="35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7405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2203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45580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225850" w:type="pct"/>
          </w:tcPr>
          <w:p>
            <w:pPr/>
            <w:r>
              <w:rPr/>
              <w:t xml:space="preserve">IGIC 7%</w:t>
            </w:r>
          </w:p>
        </w:tc>
        <w:tc>
          <w:tcPr>
            <w:tcW w:w="247250" w:type="pct"/>
          </w:tcPr>
          <w:p>
            <w:pPr/>
            <w:r>
              <w:rPr/>
              <w:t xml:space="preserve">Retención 19%</w:t>
            </w:r>
          </w:p>
        </w:tc>
        <w:tc>
          <w:tcPr>
            <w:tcW w:w="35150" w:type="pct"/>
          </w:tcPr>
          <w:p>
            <w:pPr/>
            <w:r>
              <w:rPr/>
              <w:t xml:space="preserve"> Neto Pagado</w:t>
            </w:r>
          </w:p>
        </w:tc>
      </w:tr>
      <w:tr>
        <w:trPr/>
        <w:tc>
          <w:tcPr>
            <w:tcW w:w="22030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22.406,00 €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1.568,37 €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-4.257,09 €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19.717,28 €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21.494,49 €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1504,62 €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-4084,02 €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18.915,09 €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43.900,49 €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3.072,99 €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-8.341,11 €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38.632,37 €</w:t>
            </w:r>
          </w:p>
        </w:tc>
      </w:tr>
      <w:tr>
        <w:trPr/>
        <w:tc>
          <w:tcPr>
            <w:tcW w:w="50" w:type="pct"/>
            <w:gridSpan w:val="5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20300" w:type="dxa"/>
        <w:gridCol w:w="455800" w:type="dxa"/>
        <w:gridCol w:w="225850" w:type="dxa"/>
        <w:gridCol w:w="247250" w:type="dxa"/>
        <w:gridCol w:w="35150" w:type="dxa"/>
      </w:tblGrid>
      <w:tblPr>
        <w:tblW w:w="478550" w:type="pct"/>
        <w:tblLayout w:type="autofit"/>
        <w:bidiVisual w:val="0"/>
      </w:tblPr>
      <w:tr>
        <w:trPr>
          <w:tblHeader w:val="1"/>
        </w:trPr>
        <w:tc>
          <w:tcPr>
            <w:tcW w:w="2203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45580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225850" w:type="pct"/>
          </w:tcPr>
          <w:p>
            <w:pPr/>
            <w:r>
              <w:rPr/>
              <w:t xml:space="preserve">IGIC 7%</w:t>
            </w:r>
          </w:p>
        </w:tc>
        <w:tc>
          <w:tcPr>
            <w:tcW w:w="247250" w:type="pct"/>
          </w:tcPr>
          <w:p>
            <w:pPr/>
            <w:r>
              <w:rPr/>
              <w:t xml:space="preserve">Retención 19%</w:t>
            </w:r>
          </w:p>
        </w:tc>
        <w:tc>
          <w:tcPr>
            <w:tcW w:w="35150" w:type="pct"/>
          </w:tcPr>
          <w:p>
            <w:pPr/>
            <w:r>
              <w:rPr/>
              <w:t xml:space="preserve"> Neto Pagado</w:t>
            </w:r>
          </w:p>
        </w:tc>
      </w:tr>
      <w:tr>
        <w:trPr/>
        <w:tc>
          <w:tcPr>
            <w:tcW w:w="22030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22.406,00 €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1.568,37 €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-4.257,09 €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19.717,28 €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21.494,49 €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1504,62 €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-4084,02 €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18.915,09 €</w:t>
            </w:r>
          </w:p>
        </w:tc>
      </w:tr>
      <w:tr>
        <w:trPr/>
        <w:tc>
          <w:tcPr>
            <w:tcW w:w="2203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455800" w:type="pct"/>
            <w:vAlign w:val="center"/>
          </w:tcPr>
          <w:p>
            <w:pPr>
              <w:jc w:val="center"/>
            </w:pPr>
            <w:r>
              <w:rPr/>
              <w:t xml:space="preserve">43.900,49 €</w:t>
            </w:r>
          </w:p>
        </w:tc>
        <w:tc>
          <w:tcPr>
            <w:tcW w:w="225850" w:type="pct"/>
            <w:vAlign w:val="center"/>
          </w:tcPr>
          <w:p>
            <w:pPr>
              <w:jc w:val="center"/>
            </w:pPr>
            <w:r>
              <w:rPr/>
              <w:t xml:space="preserve">3.072,99 €</w:t>
            </w:r>
          </w:p>
        </w:tc>
        <w:tc>
          <w:tcPr>
            <w:tcW w:w="247250" w:type="pct"/>
            <w:vAlign w:val="center"/>
          </w:tcPr>
          <w:p>
            <w:pPr>
              <w:jc w:val="center"/>
            </w:pPr>
            <w:r>
              <w:rPr/>
              <w:t xml:space="preserve">-8.341,11 €</w:t>
            </w:r>
          </w:p>
        </w:tc>
        <w:tc>
          <w:tcPr>
            <w:tcW w:w="35150" w:type="pct"/>
            <w:vAlign w:val="center"/>
          </w:tcPr>
          <w:p>
            <w:pPr>
              <w:jc w:val="center"/>
            </w:pPr>
            <w:r>
              <w:rPr/>
              <w:t xml:space="preserve">38.632,37 €</w:t>
            </w:r>
          </w:p>
        </w:tc>
      </w:tr>
      <w:tr>
        <w:trPr/>
        <w:tc>
          <w:tcPr>
            <w:tcW w:w="50" w:type="pct"/>
            <w:gridSpan w:val="5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74050" w:type="dxa"/>
        <w:gridCol w:w="121550" w:type="dxa"/>
        <w:gridCol w:w="495900" w:type="dxa"/>
        <w:gridCol w:w="465150" w:type="dxa"/>
        <w:gridCol w:w="17300" w:type="dxa"/>
        <w:gridCol w:w="26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7405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215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495900" w:type="pct"/>
          </w:tcPr>
          <w:p>
            <w:pPr/>
            <w:r>
              <w:rPr/>
              <w:t xml:space="preserve">IGIC</w:t>
            </w:r>
          </w:p>
        </w:tc>
        <w:tc>
          <w:tcPr>
            <w:tcW w:w="465150" w:type="pct"/>
          </w:tcPr>
          <w:p>
            <w:pPr/>
            <w:r>
              <w:rPr/>
              <w:t xml:space="preserve">IRPF</w:t>
            </w:r>
          </w:p>
        </w:tc>
        <w:tc>
          <w:tcPr>
            <w:tcW w:w="1730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2665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7405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121550" w:type="pct"/>
            <w:vAlign w:val="center"/>
          </w:tcPr>
          <w:p>
            <w:pPr>
              <w:jc w:val="center"/>
            </w:pPr>
            <w:r>
              <w:rPr/>
              <w:t xml:space="preserve">13.554,00 €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948,78 €</w:t>
            </w:r>
          </w:p>
        </w:tc>
        <w:tc>
          <w:tcPr>
            <w:tcW w:w="465150" w:type="pct"/>
            <w:vAlign w:val="center"/>
          </w:tcPr>
          <w:p>
            <w:pPr>
              <w:jc w:val="center"/>
            </w:pPr>
            <w:r>
              <w:rPr/>
              <w:t xml:space="preserve">2.575,26 €</w:t>
            </w:r>
          </w:p>
        </w:tc>
        <w:tc>
          <w:tcPr>
            <w:tcW w:w="17300" w:type="pct"/>
            <w:vAlign w:val="center"/>
          </w:tcPr>
          <w:p>
            <w:pPr>
              <w:jc w:val="center"/>
            </w:pPr>
            <w:r>
              <w:rPr/>
              <w:t xml:space="preserve">19.337,04 €</w:t>
            </w:r>
          </w:p>
        </w:tc>
        <w:tc>
          <w:tcPr>
            <w:tcW w:w="26650" w:type="pct"/>
            <w:vAlign w:val="bottom"/>
          </w:tcPr>
          <w:p>
            <w:pPr>
              <w:jc w:val="center"/>
            </w:pPr>
            <w:r>
              <w:rPr/>
              <w:t xml:space="preserve">47,20%</w:t>
            </w:r>
          </w:p>
        </w:tc>
      </w:tr>
      <w:tr>
        <w:trPr/>
        <w:tc>
          <w:tcPr>
            <w:tcW w:w="37405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21550" w:type="pct"/>
            <w:vAlign w:val="center"/>
          </w:tcPr>
          <w:p>
            <w:pPr>
              <w:jc w:val="center"/>
            </w:pPr>
            <w:r>
              <w:rPr/>
              <w:t xml:space="preserve">15.166,62 €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/>
              <w:t xml:space="preserve">1061,64 €</w:t>
            </w:r>
          </w:p>
        </w:tc>
        <w:tc>
          <w:tcPr>
            <w:tcW w:w="465150" w:type="pct"/>
            <w:vAlign w:val="center"/>
          </w:tcPr>
          <w:p>
            <w:pPr>
              <w:jc w:val="center"/>
            </w:pPr>
            <w:r>
              <w:rPr/>
              <w:t xml:space="preserve">2.881,62 €</w:t>
            </w:r>
          </w:p>
        </w:tc>
        <w:tc>
          <w:tcPr>
            <w:tcW w:w="17300" w:type="pct"/>
            <w:vAlign w:val="center"/>
          </w:tcPr>
          <w:p>
            <w:pPr>
              <w:jc w:val="center"/>
            </w:pPr>
            <w:r>
              <w:rPr/>
              <w:t xml:space="preserve">16.228,26 €</w:t>
            </w:r>
          </w:p>
        </w:tc>
        <w:tc>
          <w:tcPr>
            <w:tcW w:w="26650" w:type="pct"/>
            <w:vAlign w:val="bottom"/>
          </w:tcPr>
          <w:p>
            <w:pPr>
              <w:jc w:val="center"/>
            </w:pPr>
            <w:r>
              <w:rPr/>
              <w:t xml:space="preserve">52,80%</w:t>
            </w:r>
          </w:p>
        </w:tc>
      </w:tr>
      <w:tr>
        <w:trPr/>
        <w:tc>
          <w:tcPr>
            <w:tcW w:w="37405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21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28.720,62 €</w:t>
            </w:r>
          </w:p>
        </w:tc>
        <w:tc>
          <w:tcPr>
            <w:tcW w:w="495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2.010,42 €</w:t>
            </w:r>
          </w:p>
        </w:tc>
        <w:tc>
          <w:tcPr>
            <w:tcW w:w="465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5.456,88 €</w:t>
            </w:r>
          </w:p>
        </w:tc>
        <w:tc>
          <w:tcPr>
            <w:tcW w:w="17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30.731,04 €  </w:t>
            </w:r>
          </w:p>
        </w:tc>
        <w:tc>
          <w:tcPr>
            <w:tcW w:w="2665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100,00%</w:t>
            </w:r>
          </w:p>
        </w:tc>
      </w:tr>
      <w:tr>
        <w:trPr/>
        <w:tc>
          <w:tcPr>
            <w:tcW w:w="50" w:type="pct"/>
            <w:gridSpan w:val="6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/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14.638,32 € 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1.265,04 €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3.433,68 €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19.337,04 € 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48,20%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15.730,06 € 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1.359,49 €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3.689.72 €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20.779,14 €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51,80%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30.368,38 € 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2.624,53 € 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7.123,40 € 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40.116,18 €  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100,00%</w:t>
            </w: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86600" w:type="dxa"/>
        <w:gridCol w:w="10650" w:type="dxa"/>
        <w:gridCol w:w="36550" w:type="dxa"/>
        <w:gridCol w:w="451600" w:type="dxa"/>
        <w:gridCol w:w="3650" w:type="dxa"/>
        <w:gridCol w:w="151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86600" w:type="pct"/>
          </w:tcPr>
          <w:p>
            <w:pPr/>
            <w:r>
              <w:rPr/>
              <w:t xml:space="preserve">Concepto</w:t>
            </w:r>
          </w:p>
        </w:tc>
        <w:tc>
          <w:tcPr>
            <w:tcW w:w="10650" w:type="pct"/>
          </w:tcPr>
          <w:p>
            <w:pPr/>
            <w:r>
              <w:rPr/>
              <w:t xml:space="preserve">Importe</w:t>
            </w:r>
          </w:p>
        </w:tc>
        <w:tc>
          <w:tcPr>
            <w:tcW w:w="36550" w:type="pct"/>
          </w:tcPr>
          <w:p>
            <w:pPr/>
            <w:r>
              <w:rPr/>
              <w:t xml:space="preserve">IGIC</w:t>
            </w:r>
          </w:p>
        </w:tc>
        <w:tc>
          <w:tcPr>
            <w:tcW w:w="451600" w:type="pct"/>
          </w:tcPr>
          <w:p>
            <w:pPr/>
            <w:r>
              <w:rPr/>
              <w:t xml:space="preserve">IRPF</w:t>
            </w:r>
          </w:p>
        </w:tc>
        <w:tc>
          <w:tcPr>
            <w:tcW w:w="3650" w:type="pct"/>
          </w:tcPr>
          <w:p>
            <w:pPr/>
            <w:r>
              <w:rPr/>
              <w:t xml:space="preserve"> Total Gasto</w:t>
            </w:r>
          </w:p>
        </w:tc>
        <w:tc>
          <w:tcPr>
            <w:tcW w:w="15100" w:type="pct"/>
          </w:tcPr>
          <w:p>
            <w:pPr/>
            <w:r>
              <w:rPr/>
              <w:t xml:space="preserve">%</w:t>
            </w:r>
          </w:p>
        </w:tc>
      </w:tr>
      <w:tr>
        <w:trPr/>
        <w:tc>
          <w:tcPr>
            <w:tcW w:w="386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CAPITAN CARRASCOSA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14.638,32 €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3.433,68 €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19.337,04 €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4,3%%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ARRENDAMIENTO APARCAMIENTO C/ REINA ARMINDA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/>
              <w:t xml:space="preserve">13.625,00 €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/>
              <w:t xml:space="preserve">3.195,84 €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/>
              <w:t xml:space="preserve">17.998,34 €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3,9%</w:t>
            </w:r>
          </w:p>
        </w:tc>
      </w:tr>
      <w:tr>
        <w:trPr/>
        <w:tc>
          <w:tcPr>
            <w:tcW w:w="386600" w:type="pct"/>
            <w:vAlign w:val="bottom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ARRENDAMIENTOS :</w:t>
            </w:r>
          </w:p>
        </w:tc>
        <w:tc>
          <w:tcPr>
            <w:tcW w:w="1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3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28.263,32 €</w:t>
            </w:r>
          </w:p>
        </w:tc>
        <w:tc>
          <w:tcPr>
            <w:tcW w:w="451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6.629,52 €</w:t>
            </w:r>
          </w:p>
        </w:tc>
        <w:tc>
          <w:tcPr>
            <w:tcW w:w="3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37.335,38 €</w:t>
            </w:r>
          </w:p>
        </w:tc>
        <w:tc>
          <w:tcPr>
            <w:tcW w:w="15100" w:type="pct"/>
            <w:vAlign w:val="bottom"/>
          </w:tcPr>
          <w:p>
            <w:pPr>
              <w:jc w:val="center"/>
            </w:pPr>
            <w:r>
              <w:rPr/>
              <w:t xml:space="preserve">9,2%</w:t>
            </w:r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2026-05-09T13:43:07+00:00</dcterms:created>
  <dcterms:modified xsi:type="dcterms:W3CDTF">2026-05-09T13:43:07+00:00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