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Económico-financiera, 7.2 Ingresos y Gastos, que en la subcategoría:</w:t>
      </w:r>
    </w:p>
    <w:p>
      <w:pPr/>
      <w:r>
        <w:rPr/>
        <w:t xml:space="preserve">Durante los ejercicios </w:t>
      </w:r>
      <w:r>
        <w:rPr>
          <w:b w:val="1"/>
          <w:bCs w:val="1"/>
        </w:rPr>
        <w:t xml:space="preserve">2021, 2022 , 2023 y 2024</w:t>
      </w:r>
      <w:r>
        <w:rPr/>
        <w:t xml:space="preserve"> </w:t>
      </w:r>
      <w:r>
        <w:rPr>
          <w:b w:val="1"/>
          <w:bCs w:val="1"/>
        </w:rPr>
        <w:t xml:space="preserve">no existió actividad</w:t>
      </w:r>
      <w:r>
        <w:rPr/>
        <w:t xml:space="preserve"> en este apartado pudiendo utilizar laciudadanía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Gastos patrocinio y campañas de publicidad 2024-2025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Gastos patrocinio y campañas de publicidad 2023-2024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30/09/2023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Gastos patrocinio y campañas de publicidad 2022-2023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2026-11-07T16:11:18+00:00</dcterms:created>
  <dcterms:modified xsi:type="dcterms:W3CDTF">2026-11-07T16:11:18+00:00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