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17. Estadística, 17.1 Información estadística, se informa que en la subcategoría:</w:t>
      </w:r>
    </w:p>
    <w:p>
      <w:pPr/>
      <w:r>
        <w:rPr/>
        <w:t xml:space="preserve"> 1195 Información estadística necesaria para valorar el grado de cumplimiento de calidad.</w:t>
      </w:r>
    </w:p>
    <w:p>
      <w:pPr/>
      <w:r>
        <w:rPr/>
        <w:t xml:space="preserve">Durante los ejercicios 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</w:t>
      </w:r>
      <w:r>
        <w:rPr/>
        <w:t xml:space="preserve">o información acerca de esta obligación ya que en estos momentos no se tiene programado ningún contrato, pudiendo utilizar la ciudadanía los medios legalmente establecidos para ejercer su derecho de acceso a la información pública.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2026-05-09T13:43:03+00:00</dcterms:created>
  <dcterms:modified xsi:type="dcterms:W3CDTF">2026-05-09T13:43:03+00:00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